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120" w:beforeAutospacing="0" w:after="240" w:afterAutospacing="0" w:line="480" w:lineRule="auto"/>
        <w:jc w:val="center"/>
        <w:rPr>
          <w:rStyle w:val="12"/>
          <w:sz w:val="36"/>
          <w:szCs w:val="36"/>
        </w:rPr>
      </w:pPr>
    </w:p>
    <w:p>
      <w:pPr>
        <w:pStyle w:val="7"/>
        <w:spacing w:before="120" w:beforeAutospacing="0" w:after="240" w:afterAutospacing="0" w:line="480" w:lineRule="auto"/>
        <w:jc w:val="center"/>
        <w:rPr>
          <w:rStyle w:val="12"/>
          <w:sz w:val="36"/>
          <w:szCs w:val="36"/>
        </w:rPr>
      </w:pPr>
    </w:p>
    <w:p>
      <w:pPr>
        <w:pStyle w:val="7"/>
        <w:spacing w:before="120" w:beforeAutospacing="0" w:after="240" w:afterAutospacing="0" w:line="480" w:lineRule="auto"/>
        <w:jc w:val="center"/>
        <w:rPr>
          <w:rStyle w:val="12"/>
          <w:sz w:val="36"/>
          <w:szCs w:val="36"/>
        </w:rPr>
      </w:pPr>
      <w:r>
        <w:rPr>
          <w:rStyle w:val="12"/>
          <w:rFonts w:hint="eastAsia"/>
          <w:sz w:val="36"/>
          <w:szCs w:val="36"/>
        </w:rPr>
        <w:t>河北省</w:t>
      </w:r>
      <w:r>
        <w:rPr>
          <w:rStyle w:val="12"/>
          <w:rFonts w:hint="eastAsia"/>
          <w:sz w:val="36"/>
          <w:szCs w:val="36"/>
          <w:lang w:eastAsia="zh-CN"/>
        </w:rPr>
        <w:t>被动式</w:t>
      </w:r>
      <w:r>
        <w:rPr>
          <w:rStyle w:val="12"/>
          <w:rFonts w:hint="eastAsia"/>
          <w:sz w:val="36"/>
          <w:szCs w:val="36"/>
        </w:rPr>
        <w:t>超低能耗建筑</w:t>
      </w:r>
      <w:r>
        <w:rPr>
          <w:rStyle w:val="12"/>
          <w:rFonts w:hint="eastAsia"/>
          <w:sz w:val="36"/>
          <w:szCs w:val="36"/>
          <w:lang w:eastAsia="zh-CN"/>
        </w:rPr>
        <w:t>评价标识</w:t>
      </w:r>
      <w:r>
        <w:rPr>
          <w:rStyle w:val="12"/>
          <w:rFonts w:hint="eastAsia"/>
          <w:sz w:val="36"/>
          <w:szCs w:val="36"/>
        </w:rPr>
        <w:t>管理办法</w:t>
      </w:r>
    </w:p>
    <w:p>
      <w:pPr>
        <w:pStyle w:val="7"/>
        <w:spacing w:before="120" w:beforeAutospacing="0" w:after="240" w:afterAutospacing="0" w:line="480" w:lineRule="auto"/>
        <w:jc w:val="center"/>
        <w:outlineLvl w:val="0"/>
        <w:rPr>
          <w:rStyle w:val="12"/>
          <w:sz w:val="36"/>
          <w:szCs w:val="36"/>
        </w:rPr>
      </w:pPr>
      <w:r>
        <w:rPr>
          <w:rStyle w:val="12"/>
          <w:rFonts w:hint="eastAsia"/>
          <w:sz w:val="36"/>
          <w:szCs w:val="36"/>
        </w:rPr>
        <w:t>（</w:t>
      </w:r>
      <w:r>
        <w:rPr>
          <w:rStyle w:val="12"/>
          <w:rFonts w:hint="eastAsia"/>
          <w:sz w:val="36"/>
          <w:szCs w:val="36"/>
          <w:lang w:eastAsia="zh-CN"/>
        </w:rPr>
        <w:t>征求意见</w:t>
      </w:r>
      <w:r>
        <w:rPr>
          <w:rStyle w:val="12"/>
          <w:rFonts w:hint="eastAsia"/>
          <w:sz w:val="36"/>
          <w:szCs w:val="36"/>
        </w:rPr>
        <w:t>稿）</w:t>
      </w: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</w:p>
    <w:p>
      <w:pPr>
        <w:spacing w:line="360" w:lineRule="auto"/>
        <w:jc w:val="center"/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  <w:r>
        <w:rPr>
          <w:rFonts w:hint="eastAsia" w:asciiTheme="minorEastAsia" w:hAnsiTheme="minorEastAsia"/>
          <w:sz w:val="32"/>
          <w:szCs w:val="32"/>
        </w:rPr>
        <w:t>河北省</w:t>
      </w:r>
      <w:r>
        <w:rPr>
          <w:rFonts w:hint="eastAsia" w:asciiTheme="minorEastAsia" w:hAnsiTheme="minorEastAsia"/>
          <w:sz w:val="32"/>
          <w:szCs w:val="32"/>
          <w:lang w:eastAsia="zh-CN"/>
        </w:rPr>
        <w:t>超低能耗建筑行业协会</w:t>
      </w:r>
    </w:p>
    <w:p>
      <w:pPr>
        <w:spacing w:line="360" w:lineRule="auto"/>
        <w:rPr>
          <w:rFonts w:asciiTheme="minorEastAsia" w:hAnsiTheme="minorEastAsia"/>
          <w:sz w:val="30"/>
          <w:szCs w:val="30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360" w:lineRule="auto"/>
        <w:jc w:val="center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第一章 总  则</w:t>
      </w:r>
    </w:p>
    <w:p>
      <w:pPr>
        <w:pStyle w:val="15"/>
        <w:spacing w:beforeLines="50"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第一条 </w:t>
      </w:r>
      <w:r>
        <w:rPr>
          <w:rFonts w:hint="eastAsia" w:ascii="仿宋" w:hAnsi="仿宋" w:eastAsia="仿宋"/>
          <w:sz w:val="30"/>
          <w:szCs w:val="30"/>
        </w:rPr>
        <w:t>为切实提升</w:t>
      </w:r>
      <w:r>
        <w:rPr>
          <w:rFonts w:ascii="仿宋" w:hAnsi="仿宋" w:eastAsia="仿宋"/>
          <w:sz w:val="30"/>
          <w:szCs w:val="30"/>
        </w:rPr>
        <w:t>河北省建筑能效水平，</w:t>
      </w:r>
      <w:r>
        <w:rPr>
          <w:rFonts w:hint="eastAsia" w:ascii="仿宋" w:hAnsi="仿宋" w:eastAsia="仿宋"/>
          <w:sz w:val="30"/>
          <w:szCs w:val="30"/>
        </w:rPr>
        <w:t>引导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</w:t>
      </w:r>
      <w:r>
        <w:rPr>
          <w:rFonts w:hint="eastAsia" w:ascii="仿宋" w:hAnsi="仿宋" w:eastAsia="仿宋"/>
          <w:sz w:val="30"/>
          <w:szCs w:val="30"/>
        </w:rPr>
        <w:t>健康</w:t>
      </w:r>
      <w:r>
        <w:rPr>
          <w:rFonts w:ascii="仿宋" w:hAnsi="仿宋" w:eastAsia="仿宋"/>
          <w:sz w:val="30"/>
          <w:szCs w:val="30"/>
        </w:rPr>
        <w:t>、有序发展，</w:t>
      </w:r>
      <w:r>
        <w:rPr>
          <w:rFonts w:hint="eastAsia" w:ascii="仿宋" w:hAnsi="仿宋" w:eastAsia="仿宋"/>
          <w:sz w:val="30"/>
          <w:szCs w:val="30"/>
        </w:rPr>
        <w:t>规范河北省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被动式超低能耗建筑标识</w:t>
      </w:r>
      <w:r>
        <w:rPr>
          <w:rFonts w:hint="eastAsia" w:ascii="仿宋" w:hAnsi="仿宋" w:eastAsia="仿宋"/>
          <w:sz w:val="30"/>
          <w:szCs w:val="30"/>
        </w:rPr>
        <w:t>的</w:t>
      </w:r>
      <w:r>
        <w:rPr>
          <w:rFonts w:hint="eastAsia" w:ascii="仿宋" w:hAnsi="仿宋" w:eastAsia="仿宋"/>
          <w:sz w:val="30"/>
          <w:szCs w:val="30"/>
          <w:lang w:eastAsia="zh-CN"/>
        </w:rPr>
        <w:t>评价</w:t>
      </w:r>
      <w:r>
        <w:rPr>
          <w:rFonts w:ascii="仿宋" w:hAnsi="仿宋" w:eastAsia="仿宋"/>
          <w:sz w:val="30"/>
          <w:szCs w:val="30"/>
        </w:rPr>
        <w:t>工作，特制</w:t>
      </w:r>
      <w:r>
        <w:rPr>
          <w:rFonts w:hint="eastAsia" w:ascii="仿宋" w:hAnsi="仿宋" w:eastAsia="仿宋"/>
          <w:sz w:val="30"/>
          <w:szCs w:val="30"/>
        </w:rPr>
        <w:t>定</w:t>
      </w:r>
      <w:r>
        <w:rPr>
          <w:rFonts w:ascii="仿宋" w:hAnsi="仿宋" w:eastAsia="仿宋"/>
          <w:sz w:val="30"/>
          <w:szCs w:val="30"/>
        </w:rPr>
        <w:t>本办法。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第二条 </w:t>
      </w:r>
      <w:r>
        <w:rPr>
          <w:rFonts w:hint="eastAsia" w:ascii="仿宋" w:hAnsi="仿宋" w:eastAsia="仿宋"/>
          <w:sz w:val="30"/>
          <w:szCs w:val="30"/>
        </w:rPr>
        <w:t>本办法所称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被动式超低能耗建筑标识评价</w:t>
      </w:r>
      <w:r>
        <w:rPr>
          <w:rFonts w:ascii="仿宋" w:hAnsi="仿宋" w:eastAsia="仿宋"/>
          <w:sz w:val="30"/>
          <w:szCs w:val="30"/>
        </w:rPr>
        <w:t>（以下简称“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”），是指对申请进行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</w:t>
      </w:r>
      <w:r>
        <w:rPr>
          <w:rFonts w:hint="eastAsia" w:ascii="仿宋" w:hAnsi="仿宋" w:eastAsia="仿宋"/>
          <w:sz w:val="30"/>
          <w:szCs w:val="30"/>
        </w:rPr>
        <w:t>评定</w:t>
      </w:r>
      <w:r>
        <w:rPr>
          <w:rFonts w:ascii="仿宋" w:hAnsi="仿宋" w:eastAsia="仿宋"/>
          <w:sz w:val="30"/>
          <w:szCs w:val="30"/>
        </w:rPr>
        <w:t>的建筑物</w:t>
      </w:r>
      <w:r>
        <w:rPr>
          <w:rFonts w:hint="eastAsia" w:ascii="仿宋" w:hAnsi="仿宋" w:eastAsia="仿宋"/>
          <w:sz w:val="30"/>
          <w:szCs w:val="30"/>
        </w:rPr>
        <w:t>，</w:t>
      </w:r>
      <w:r>
        <w:rPr>
          <w:rFonts w:ascii="仿宋" w:hAnsi="仿宋" w:eastAsia="仿宋"/>
          <w:sz w:val="30"/>
          <w:szCs w:val="30"/>
        </w:rPr>
        <w:t>依据</w:t>
      </w:r>
      <w:r>
        <w:rPr>
          <w:rFonts w:hint="eastAsia" w:ascii="仿宋" w:hAnsi="仿宋" w:eastAsia="仿宋"/>
          <w:sz w:val="30"/>
          <w:szCs w:val="30"/>
        </w:rPr>
        <w:t>国家和</w:t>
      </w:r>
      <w:r>
        <w:rPr>
          <w:rFonts w:ascii="仿宋" w:hAnsi="仿宋" w:eastAsia="仿宋"/>
          <w:sz w:val="30"/>
          <w:szCs w:val="30"/>
        </w:rPr>
        <w:t>河北省</w:t>
      </w:r>
      <w:r>
        <w:rPr>
          <w:rFonts w:hint="eastAsia" w:ascii="仿宋" w:hAnsi="仿宋" w:eastAsia="仿宋"/>
          <w:sz w:val="30"/>
          <w:szCs w:val="30"/>
        </w:rPr>
        <w:t>相关技术标准</w:t>
      </w:r>
      <w:r>
        <w:rPr>
          <w:rFonts w:ascii="仿宋" w:hAnsi="仿宋" w:eastAsia="仿宋"/>
          <w:sz w:val="30"/>
          <w:szCs w:val="30"/>
        </w:rPr>
        <w:t>，按照本办法规定的程序和要求，认定其能耗水平并进行信息性标识的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活动</w:t>
      </w:r>
      <w:r>
        <w:rPr>
          <w:rFonts w:ascii="Times New Roman" w:hAnsi="仿宋" w:eastAsia="仿宋" w:cs="Times New Roman"/>
          <w:sz w:val="30"/>
          <w:szCs w:val="30"/>
        </w:rPr>
        <w:t>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第三条 </w:t>
      </w:r>
      <w:r>
        <w:rPr>
          <w:rFonts w:hint="eastAsia" w:ascii="仿宋" w:hAnsi="仿宋" w:eastAsia="仿宋"/>
          <w:sz w:val="30"/>
          <w:szCs w:val="30"/>
        </w:rPr>
        <w:t>河北省新建</w:t>
      </w:r>
      <w:r>
        <w:rPr>
          <w:rFonts w:ascii="仿宋" w:hAnsi="仿宋" w:eastAsia="仿宋"/>
          <w:sz w:val="30"/>
          <w:szCs w:val="30"/>
        </w:rPr>
        <w:t>、改建、扩建的</w:t>
      </w:r>
      <w:r>
        <w:rPr>
          <w:rFonts w:hint="eastAsia" w:ascii="仿宋" w:hAnsi="仿宋" w:eastAsia="仿宋"/>
          <w:sz w:val="30"/>
          <w:szCs w:val="30"/>
        </w:rPr>
        <w:t>民用</w:t>
      </w:r>
      <w:r>
        <w:rPr>
          <w:rFonts w:ascii="仿宋" w:hAnsi="仿宋" w:eastAsia="仿宋"/>
          <w:sz w:val="30"/>
          <w:szCs w:val="30"/>
        </w:rPr>
        <w:t>建筑的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被动式超低能耗建筑标识评价</w:t>
      </w:r>
      <w:r>
        <w:rPr>
          <w:rFonts w:ascii="仿宋" w:hAnsi="仿宋" w:eastAsia="仿宋"/>
          <w:sz w:val="30"/>
          <w:szCs w:val="30"/>
        </w:rPr>
        <w:t>的实施</w:t>
      </w:r>
      <w:r>
        <w:rPr>
          <w:rFonts w:hint="eastAsia" w:ascii="仿宋" w:hAnsi="仿宋" w:eastAsia="仿宋"/>
          <w:sz w:val="30"/>
          <w:szCs w:val="30"/>
        </w:rPr>
        <w:t>与</w:t>
      </w:r>
      <w:r>
        <w:rPr>
          <w:rFonts w:ascii="仿宋" w:hAnsi="仿宋" w:eastAsia="仿宋"/>
          <w:sz w:val="30"/>
          <w:szCs w:val="30"/>
        </w:rPr>
        <w:t>管理，适用于本办法。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第四条 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分为</w:t>
      </w:r>
      <w:r>
        <w:rPr>
          <w:rFonts w:hint="eastAsia" w:ascii="仿宋" w:hAnsi="仿宋" w:eastAsia="仿宋"/>
          <w:sz w:val="30"/>
          <w:szCs w:val="30"/>
          <w:lang w:eastAsia="zh-CN"/>
        </w:rPr>
        <w:t>预评价</w:t>
      </w:r>
      <w:r>
        <w:rPr>
          <w:rFonts w:hint="eastAsia" w:ascii="仿宋" w:hAnsi="仿宋" w:eastAsia="仿宋"/>
          <w:sz w:val="30"/>
          <w:szCs w:val="30"/>
        </w:rPr>
        <w:t>、项目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两</w:t>
      </w:r>
      <w:r>
        <w:rPr>
          <w:rFonts w:ascii="仿宋" w:hAnsi="仿宋" w:eastAsia="仿宋"/>
          <w:sz w:val="30"/>
          <w:szCs w:val="30"/>
        </w:rPr>
        <w:t>个阶段</w:t>
      </w:r>
      <w:r>
        <w:rPr>
          <w:rFonts w:hint="eastAsia" w:ascii="仿宋" w:hAnsi="仿宋" w:eastAsia="仿宋"/>
          <w:sz w:val="30"/>
          <w:szCs w:val="30"/>
        </w:rPr>
        <w:t>。</w:t>
      </w:r>
      <w:r>
        <w:rPr>
          <w:rFonts w:hint="eastAsia" w:ascii="仿宋" w:hAnsi="仿宋" w:eastAsia="仿宋"/>
          <w:sz w:val="30"/>
          <w:szCs w:val="30"/>
          <w:lang w:eastAsia="zh-CN"/>
        </w:rPr>
        <w:t>预评价</w:t>
      </w:r>
      <w:r>
        <w:rPr>
          <w:rFonts w:hint="eastAsia" w:ascii="仿宋" w:hAnsi="仿宋" w:eastAsia="仿宋"/>
          <w:sz w:val="30"/>
          <w:szCs w:val="30"/>
        </w:rPr>
        <w:t>应在</w:t>
      </w:r>
      <w:r>
        <w:rPr>
          <w:rFonts w:ascii="仿宋" w:hAnsi="仿宋" w:eastAsia="仿宋"/>
          <w:sz w:val="30"/>
          <w:szCs w:val="30"/>
        </w:rPr>
        <w:t>施工图设计文件审查通过后进行；</w:t>
      </w:r>
      <w:r>
        <w:rPr>
          <w:rFonts w:hint="eastAsia" w:ascii="仿宋" w:hAnsi="仿宋" w:eastAsia="仿宋"/>
          <w:sz w:val="30"/>
          <w:szCs w:val="30"/>
        </w:rPr>
        <w:t>项目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应在建筑</w:t>
      </w:r>
      <w:r>
        <w:rPr>
          <w:rFonts w:hint="eastAsia" w:ascii="仿宋" w:hAnsi="仿宋" w:eastAsia="仿宋"/>
          <w:sz w:val="30"/>
          <w:szCs w:val="30"/>
        </w:rPr>
        <w:t>按照确认的设计文件施工、竣工</w:t>
      </w:r>
      <w:r>
        <w:rPr>
          <w:rFonts w:ascii="仿宋" w:hAnsi="仿宋" w:eastAsia="仿宋"/>
          <w:sz w:val="30"/>
          <w:szCs w:val="30"/>
        </w:rPr>
        <w:t>验收</w:t>
      </w:r>
      <w:r>
        <w:rPr>
          <w:rFonts w:hint="eastAsia" w:ascii="仿宋" w:hAnsi="仿宋" w:eastAsia="仿宋"/>
          <w:sz w:val="30"/>
          <w:szCs w:val="30"/>
        </w:rPr>
        <w:t>并</w:t>
      </w:r>
      <w:r>
        <w:rPr>
          <w:rFonts w:ascii="仿宋" w:hAnsi="仿宋" w:eastAsia="仿宋"/>
          <w:sz w:val="30"/>
          <w:szCs w:val="30"/>
        </w:rPr>
        <w:t>通过测试</w:t>
      </w:r>
      <w:r>
        <w:rPr>
          <w:rFonts w:hint="eastAsia" w:ascii="仿宋" w:hAnsi="仿宋" w:eastAsia="仿宋"/>
          <w:sz w:val="30"/>
          <w:szCs w:val="30"/>
        </w:rPr>
        <w:t>后</w:t>
      </w:r>
      <w:r>
        <w:rPr>
          <w:rFonts w:ascii="仿宋" w:hAnsi="仿宋" w:eastAsia="仿宋"/>
          <w:sz w:val="30"/>
          <w:szCs w:val="30"/>
        </w:rPr>
        <w:t>进行。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方法</w:t>
      </w:r>
      <w:r>
        <w:rPr>
          <w:rFonts w:ascii="仿宋" w:hAnsi="仿宋" w:eastAsia="仿宋"/>
          <w:sz w:val="30"/>
          <w:szCs w:val="30"/>
        </w:rPr>
        <w:t>符合</w:t>
      </w:r>
      <w:r>
        <w:rPr>
          <w:rFonts w:hint="eastAsia" w:ascii="仿宋" w:hAnsi="仿宋" w:eastAsia="仿宋"/>
          <w:sz w:val="30"/>
          <w:szCs w:val="30"/>
        </w:rPr>
        <w:t>《河北省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被动式超低能耗建筑标识评价</w:t>
      </w:r>
      <w:r>
        <w:rPr>
          <w:rFonts w:hint="eastAsia" w:ascii="仿宋" w:hAnsi="仿宋" w:eastAsia="仿宋"/>
          <w:sz w:val="30"/>
          <w:szCs w:val="30"/>
        </w:rPr>
        <w:t>技术要点》、河北省</w:t>
      </w:r>
      <w:r>
        <w:rPr>
          <w:rFonts w:hint="eastAsia" w:ascii="仿宋" w:hAnsi="仿宋" w:eastAsia="仿宋"/>
          <w:sz w:val="30"/>
          <w:szCs w:val="30"/>
          <w:lang w:eastAsia="zh-CN"/>
        </w:rPr>
        <w:t>《被动式超低能耗建筑评价标准》、</w:t>
      </w:r>
      <w:r>
        <w:rPr>
          <w:rFonts w:ascii="仿宋" w:hAnsi="仿宋" w:eastAsia="仿宋"/>
          <w:sz w:val="30"/>
          <w:szCs w:val="30"/>
        </w:rPr>
        <w:t>《</w:t>
      </w:r>
      <w:r>
        <w:rPr>
          <w:rFonts w:hint="eastAsia" w:ascii="仿宋" w:hAnsi="仿宋" w:eastAsia="仿宋"/>
          <w:sz w:val="30"/>
          <w:szCs w:val="30"/>
        </w:rPr>
        <w:t>被动式</w:t>
      </w:r>
      <w:r>
        <w:rPr>
          <w:rFonts w:ascii="仿宋" w:hAnsi="仿宋" w:eastAsia="仿宋"/>
          <w:sz w:val="30"/>
          <w:szCs w:val="30"/>
        </w:rPr>
        <w:t>低能耗居住建筑节能设计标准》</w:t>
      </w:r>
      <w:r>
        <w:rPr>
          <w:rFonts w:hint="eastAsia" w:ascii="仿宋" w:hAnsi="仿宋" w:eastAsia="仿宋"/>
          <w:sz w:val="30"/>
          <w:szCs w:val="30"/>
        </w:rPr>
        <w:t>、</w:t>
      </w:r>
      <w:r>
        <w:rPr>
          <w:rFonts w:ascii="仿宋" w:hAnsi="仿宋" w:eastAsia="仿宋"/>
          <w:sz w:val="30"/>
          <w:szCs w:val="30"/>
        </w:rPr>
        <w:t>《</w:t>
      </w:r>
      <w:r>
        <w:rPr>
          <w:rFonts w:hint="eastAsia" w:ascii="仿宋" w:hAnsi="仿宋" w:eastAsia="仿宋"/>
          <w:sz w:val="30"/>
          <w:szCs w:val="30"/>
        </w:rPr>
        <w:t>被动式</w:t>
      </w:r>
      <w:r>
        <w:rPr>
          <w:rFonts w:ascii="仿宋" w:hAnsi="仿宋" w:eastAsia="仿宋"/>
          <w:sz w:val="30"/>
          <w:szCs w:val="30"/>
        </w:rPr>
        <w:t>低能耗公共建筑节能设计标准》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ascii="仿宋" w:hAnsi="仿宋" w:eastAsia="仿宋"/>
          <w:sz w:val="30"/>
          <w:szCs w:val="30"/>
        </w:rPr>
        <w:t>《</w:t>
      </w:r>
      <w:r>
        <w:rPr>
          <w:rFonts w:hint="eastAsia" w:ascii="仿宋" w:hAnsi="仿宋" w:eastAsia="仿宋"/>
          <w:sz w:val="30"/>
          <w:szCs w:val="30"/>
        </w:rPr>
        <w:t>被动式</w:t>
      </w:r>
      <w:r>
        <w:rPr>
          <w:rFonts w:hint="eastAsia" w:ascii="仿宋" w:hAnsi="仿宋" w:eastAsia="仿宋"/>
          <w:sz w:val="30"/>
          <w:szCs w:val="30"/>
          <w:lang w:eastAsia="zh-CN"/>
        </w:rPr>
        <w:t>超</w:t>
      </w:r>
      <w:r>
        <w:rPr>
          <w:rFonts w:ascii="仿宋" w:hAnsi="仿宋" w:eastAsia="仿宋"/>
          <w:sz w:val="30"/>
          <w:szCs w:val="30"/>
        </w:rPr>
        <w:t>低能耗建筑施工及验收</w:t>
      </w:r>
      <w:r>
        <w:rPr>
          <w:rFonts w:hint="eastAsia" w:ascii="仿宋" w:hAnsi="仿宋" w:eastAsia="仿宋"/>
          <w:sz w:val="30"/>
          <w:szCs w:val="30"/>
          <w:lang w:eastAsia="zh-CN"/>
        </w:rPr>
        <w:t>标准</w:t>
      </w:r>
      <w:r>
        <w:rPr>
          <w:rFonts w:ascii="仿宋" w:hAnsi="仿宋" w:eastAsia="仿宋"/>
          <w:sz w:val="30"/>
          <w:szCs w:val="30"/>
        </w:rPr>
        <w:t>》</w:t>
      </w:r>
      <w:r>
        <w:rPr>
          <w:rFonts w:hint="eastAsia" w:ascii="仿宋" w:hAnsi="仿宋" w:eastAsia="仿宋"/>
          <w:sz w:val="30"/>
          <w:szCs w:val="30"/>
          <w:lang w:eastAsia="zh-CN"/>
        </w:rPr>
        <w:t>及</w:t>
      </w:r>
      <w:r>
        <w:rPr>
          <w:rFonts w:ascii="仿宋" w:hAnsi="仿宋" w:eastAsia="仿宋"/>
          <w:sz w:val="30"/>
          <w:szCs w:val="30"/>
        </w:rPr>
        <w:t>《</w:t>
      </w:r>
      <w:r>
        <w:rPr>
          <w:rFonts w:hint="eastAsia" w:ascii="仿宋" w:hAnsi="仿宋" w:eastAsia="仿宋"/>
          <w:sz w:val="30"/>
          <w:szCs w:val="30"/>
        </w:rPr>
        <w:t>被动式</w:t>
      </w:r>
      <w:r>
        <w:rPr>
          <w:rFonts w:hint="eastAsia" w:ascii="仿宋" w:hAnsi="仿宋" w:eastAsia="仿宋"/>
          <w:sz w:val="30"/>
          <w:szCs w:val="30"/>
          <w:lang w:eastAsia="zh-CN"/>
        </w:rPr>
        <w:t>超</w:t>
      </w:r>
      <w:r>
        <w:rPr>
          <w:rFonts w:ascii="仿宋" w:hAnsi="仿宋" w:eastAsia="仿宋"/>
          <w:sz w:val="30"/>
          <w:szCs w:val="30"/>
        </w:rPr>
        <w:t>低能耗建筑</w:t>
      </w:r>
      <w:r>
        <w:rPr>
          <w:rFonts w:hint="eastAsia" w:ascii="仿宋" w:hAnsi="仿宋" w:eastAsia="仿宋"/>
          <w:sz w:val="30"/>
          <w:szCs w:val="30"/>
          <w:lang w:eastAsia="zh-CN"/>
        </w:rPr>
        <w:t>检测标准</w:t>
      </w:r>
      <w:r>
        <w:rPr>
          <w:rFonts w:ascii="仿宋" w:hAnsi="仿宋" w:eastAsia="仿宋"/>
          <w:sz w:val="30"/>
          <w:szCs w:val="30"/>
        </w:rPr>
        <w:t>》</w:t>
      </w:r>
      <w:r>
        <w:rPr>
          <w:rFonts w:hint="eastAsia" w:ascii="Times New Roman" w:hAnsi="Times New Roman" w:eastAsia="仿宋_GB2312" w:cs="Times New Roman"/>
          <w:bCs/>
          <w:sz w:val="28"/>
          <w:szCs w:val="28"/>
        </w:rPr>
        <w:t>等</w:t>
      </w:r>
      <w:r>
        <w:rPr>
          <w:rFonts w:hint="eastAsia" w:ascii="仿宋" w:hAnsi="仿宋" w:eastAsia="仿宋"/>
          <w:sz w:val="30"/>
          <w:szCs w:val="30"/>
        </w:rPr>
        <w:t>的相关</w:t>
      </w:r>
      <w:r>
        <w:rPr>
          <w:rFonts w:ascii="仿宋" w:hAnsi="仿宋" w:eastAsia="仿宋"/>
          <w:sz w:val="30"/>
          <w:szCs w:val="30"/>
        </w:rPr>
        <w:t>要求</w:t>
      </w:r>
      <w:r>
        <w:rPr>
          <w:rFonts w:hint="eastAsia" w:ascii="仿宋" w:hAnsi="仿宋" w:eastAsia="仿宋"/>
          <w:sz w:val="30"/>
          <w:szCs w:val="30"/>
        </w:rPr>
        <w:t>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第五条 </w:t>
      </w:r>
      <w:r>
        <w:rPr>
          <w:rFonts w:hint="eastAsia" w:ascii="仿宋" w:hAnsi="仿宋" w:eastAsia="仿宋"/>
          <w:sz w:val="30"/>
          <w:szCs w:val="30"/>
        </w:rPr>
        <w:t>参与项目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人员</w:t>
      </w:r>
      <w:r>
        <w:rPr>
          <w:rFonts w:ascii="仿宋" w:hAnsi="仿宋" w:eastAsia="仿宋"/>
          <w:sz w:val="30"/>
          <w:szCs w:val="30"/>
        </w:rPr>
        <w:t>应</w:t>
      </w:r>
      <w:r>
        <w:rPr>
          <w:rFonts w:hint="eastAsia" w:ascii="仿宋" w:hAnsi="仿宋" w:eastAsia="仿宋"/>
          <w:sz w:val="30"/>
          <w:szCs w:val="30"/>
        </w:rPr>
        <w:t>具备相关项目经验</w:t>
      </w:r>
      <w:r>
        <w:rPr>
          <w:rFonts w:ascii="仿宋" w:hAnsi="仿宋" w:eastAsia="仿宋"/>
          <w:sz w:val="30"/>
          <w:szCs w:val="30"/>
        </w:rPr>
        <w:t>；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中的相关测试应</w:t>
      </w:r>
      <w:r>
        <w:rPr>
          <w:rFonts w:hint="eastAsia" w:ascii="仿宋" w:hAnsi="仿宋" w:eastAsia="仿宋"/>
          <w:sz w:val="30"/>
          <w:szCs w:val="30"/>
        </w:rPr>
        <w:t>由符合国家相关资质要求的</w:t>
      </w:r>
      <w:r>
        <w:rPr>
          <w:rFonts w:ascii="仿宋" w:hAnsi="仿宋" w:eastAsia="仿宋"/>
          <w:sz w:val="30"/>
          <w:szCs w:val="30"/>
        </w:rPr>
        <w:t>检测机构实施。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第六条 </w:t>
      </w:r>
      <w:r>
        <w:rPr>
          <w:rFonts w:hint="eastAsia" w:ascii="仿宋" w:hAnsi="仿宋" w:eastAsia="仿宋"/>
          <w:sz w:val="30"/>
          <w:szCs w:val="30"/>
        </w:rPr>
        <w:t>申请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的项目，</w:t>
      </w:r>
      <w:r>
        <w:rPr>
          <w:rFonts w:hint="eastAsia" w:ascii="仿宋" w:hAnsi="仿宋" w:eastAsia="仿宋"/>
          <w:sz w:val="30"/>
          <w:szCs w:val="30"/>
          <w:lang w:eastAsia="zh-CN"/>
        </w:rPr>
        <w:t>应</w:t>
      </w:r>
      <w:r>
        <w:rPr>
          <w:rFonts w:ascii="仿宋" w:hAnsi="仿宋" w:eastAsia="仿宋"/>
          <w:sz w:val="30"/>
          <w:szCs w:val="30"/>
        </w:rPr>
        <w:t>通过</w:t>
      </w:r>
      <w:r>
        <w:rPr>
          <w:rFonts w:hint="eastAsia" w:ascii="仿宋" w:hAnsi="仿宋" w:eastAsia="仿宋"/>
          <w:sz w:val="30"/>
          <w:szCs w:val="30"/>
          <w:lang w:eastAsia="zh-CN"/>
        </w:rPr>
        <w:t>被动式超低能耗建筑</w:t>
      </w:r>
      <w:r>
        <w:rPr>
          <w:rFonts w:hint="eastAsia" w:ascii="Times New Roman" w:hAnsi="Times New Roman" w:eastAsia="仿宋" w:cs="Times New Roman"/>
          <w:sz w:val="30"/>
          <w:szCs w:val="30"/>
        </w:rPr>
        <w:t>相关</w:t>
      </w:r>
      <w:r>
        <w:rPr>
          <w:rFonts w:hint="eastAsia" w:ascii="仿宋" w:hAnsi="仿宋" w:eastAsia="仿宋"/>
          <w:sz w:val="30"/>
          <w:szCs w:val="30"/>
        </w:rPr>
        <w:t>评价软件</w:t>
      </w:r>
      <w:r>
        <w:rPr>
          <w:rFonts w:ascii="仿宋" w:hAnsi="仿宋" w:eastAsia="仿宋"/>
          <w:sz w:val="30"/>
          <w:szCs w:val="30"/>
        </w:rPr>
        <w:t>的能耗计算，</w:t>
      </w:r>
      <w:r>
        <w:rPr>
          <w:rFonts w:hint="eastAsia" w:ascii="仿宋" w:hAnsi="仿宋" w:eastAsia="仿宋"/>
          <w:sz w:val="30"/>
          <w:szCs w:val="30"/>
          <w:lang w:eastAsia="zh-CN"/>
        </w:rPr>
        <w:t>施工过程严格按精细化施工原则进行施工、对关键节能指标进行检测，</w:t>
      </w:r>
      <w:r>
        <w:rPr>
          <w:rFonts w:ascii="仿宋" w:hAnsi="仿宋" w:eastAsia="仿宋"/>
          <w:sz w:val="30"/>
          <w:szCs w:val="30"/>
        </w:rPr>
        <w:t>并提交</w:t>
      </w:r>
      <w:r>
        <w:rPr>
          <w:rFonts w:hint="eastAsia" w:ascii="仿宋" w:hAnsi="仿宋" w:eastAsia="仿宋"/>
          <w:sz w:val="30"/>
          <w:szCs w:val="30"/>
          <w:lang w:eastAsia="zh-CN"/>
        </w:rPr>
        <w:t>相关有效</w:t>
      </w:r>
      <w:r>
        <w:rPr>
          <w:rFonts w:hint="eastAsia" w:ascii="仿宋" w:hAnsi="仿宋" w:eastAsia="仿宋"/>
          <w:sz w:val="30"/>
          <w:szCs w:val="30"/>
        </w:rPr>
        <w:t>文件</w:t>
      </w:r>
      <w:r>
        <w:rPr>
          <w:rFonts w:ascii="仿宋" w:hAnsi="仿宋" w:eastAsia="仿宋"/>
          <w:sz w:val="30"/>
          <w:szCs w:val="30"/>
        </w:rPr>
        <w:t>。</w:t>
      </w:r>
    </w:p>
    <w:p>
      <w:pPr>
        <w:spacing w:line="360" w:lineRule="auto"/>
        <w:ind w:firstLine="602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第七条 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包括</w:t>
      </w:r>
      <w:r>
        <w:rPr>
          <w:rFonts w:ascii="仿宋" w:hAnsi="仿宋" w:eastAsia="仿宋"/>
          <w:sz w:val="30"/>
          <w:szCs w:val="30"/>
        </w:rPr>
        <w:t>证书和标识牌</w:t>
      </w:r>
      <w:r>
        <w:rPr>
          <w:rFonts w:hint="eastAsia" w:ascii="仿宋" w:hAnsi="仿宋" w:eastAsia="仿宋"/>
          <w:sz w:val="30"/>
          <w:szCs w:val="30"/>
        </w:rPr>
        <w:t>。项目</w:t>
      </w:r>
      <w:r>
        <w:rPr>
          <w:rFonts w:ascii="仿宋" w:hAnsi="仿宋" w:eastAsia="仿宋"/>
          <w:sz w:val="30"/>
          <w:szCs w:val="30"/>
        </w:rPr>
        <w:t>通过</w:t>
      </w:r>
      <w:r>
        <w:rPr>
          <w:rFonts w:hint="eastAsia" w:ascii="仿宋" w:hAnsi="仿宋" w:eastAsia="仿宋"/>
          <w:sz w:val="30"/>
          <w:szCs w:val="30"/>
          <w:lang w:eastAsia="zh-CN"/>
        </w:rPr>
        <w:t>预评价</w:t>
      </w:r>
      <w:r>
        <w:rPr>
          <w:rFonts w:hint="eastAsia" w:ascii="仿宋" w:hAnsi="仿宋" w:eastAsia="仿宋"/>
          <w:sz w:val="30"/>
          <w:szCs w:val="30"/>
        </w:rPr>
        <w:t>后</w:t>
      </w:r>
      <w:r>
        <w:rPr>
          <w:rFonts w:ascii="仿宋" w:hAnsi="仿宋" w:eastAsia="仿宋"/>
          <w:sz w:val="30"/>
          <w:szCs w:val="30"/>
        </w:rPr>
        <w:t>，授予</w:t>
      </w:r>
      <w:r>
        <w:rPr>
          <w:rFonts w:hint="eastAsia" w:ascii="仿宋" w:hAnsi="仿宋" w:eastAsia="仿宋"/>
          <w:sz w:val="30"/>
          <w:szCs w:val="30"/>
          <w:lang w:eastAsia="zh-CN"/>
        </w:rPr>
        <w:t>预评价</w:t>
      </w:r>
      <w:r>
        <w:rPr>
          <w:rFonts w:ascii="仿宋" w:hAnsi="仿宋" w:eastAsia="仿宋"/>
          <w:sz w:val="30"/>
          <w:szCs w:val="30"/>
        </w:rPr>
        <w:t>书</w:t>
      </w:r>
      <w:r>
        <w:rPr>
          <w:rFonts w:hint="eastAsia" w:ascii="仿宋" w:hAnsi="仿宋" w:eastAsia="仿宋"/>
          <w:sz w:val="30"/>
          <w:szCs w:val="30"/>
        </w:rPr>
        <w:t>；完成项目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，</w:t>
      </w:r>
      <w:r>
        <w:rPr>
          <w:rFonts w:hint="eastAsia" w:ascii="仿宋" w:hAnsi="仿宋" w:eastAsia="仿宋"/>
          <w:sz w:val="30"/>
          <w:szCs w:val="30"/>
        </w:rPr>
        <w:t>授予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ascii="仿宋" w:hAnsi="仿宋" w:eastAsia="仿宋"/>
          <w:sz w:val="30"/>
          <w:szCs w:val="30"/>
        </w:rPr>
        <w:t>证书</w:t>
      </w:r>
      <w:r>
        <w:rPr>
          <w:rFonts w:hint="eastAsia" w:ascii="仿宋" w:hAnsi="仿宋" w:eastAsia="仿宋"/>
          <w:sz w:val="30"/>
          <w:szCs w:val="30"/>
        </w:rPr>
        <w:t>和标识牌。</w:t>
      </w:r>
    </w:p>
    <w:p>
      <w:pPr>
        <w:pStyle w:val="15"/>
        <w:spacing w:line="360" w:lineRule="auto"/>
        <w:ind w:firstLine="602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第八条 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的申请遵循自愿原则，</w:t>
      </w:r>
      <w:r>
        <w:rPr>
          <w:rFonts w:hint="eastAsia" w:ascii="仿宋" w:hAnsi="仿宋" w:eastAsia="仿宋"/>
          <w:sz w:val="30"/>
          <w:szCs w:val="30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</w:rPr>
        <w:t>工作遵循科学、公开、公平和公正的原则。</w:t>
      </w:r>
    </w:p>
    <w:p>
      <w:pPr>
        <w:spacing w:beforeLines="100" w:line="360" w:lineRule="auto"/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第二章 组织管理</w:t>
      </w:r>
    </w:p>
    <w:p>
      <w:pPr>
        <w:spacing w:beforeLines="50" w:line="360" w:lineRule="auto"/>
        <w:ind w:firstLine="602" w:firstLineChars="200"/>
        <w:rPr>
          <w:rFonts w:ascii="仿宋" w:hAnsi="仿宋" w:eastAsia="仿宋"/>
          <w:sz w:val="30"/>
          <w:szCs w:val="30"/>
          <w:highlight w:val="none"/>
        </w:rPr>
      </w:pPr>
      <w:r>
        <w:rPr>
          <w:rFonts w:hint="eastAsia" w:ascii="仿宋" w:hAnsi="仿宋" w:eastAsia="仿宋"/>
          <w:b/>
          <w:sz w:val="30"/>
          <w:szCs w:val="30"/>
        </w:rPr>
        <w:t>第九条</w:t>
      </w:r>
      <w:r>
        <w:rPr>
          <w:rFonts w:hint="eastAsia" w:ascii="仿宋" w:hAnsi="仿宋" w:eastAsia="仿宋"/>
          <w:b/>
          <w:sz w:val="30"/>
          <w:szCs w:val="30"/>
          <w:highlight w:val="none"/>
        </w:rPr>
        <w:t xml:space="preserve"> </w:t>
      </w:r>
      <w:r>
        <w:rPr>
          <w:rFonts w:hint="eastAsia" w:ascii="仿宋" w:hAnsi="仿宋" w:eastAsia="仿宋"/>
          <w:sz w:val="30"/>
          <w:szCs w:val="30"/>
          <w:highlight w:val="none"/>
        </w:rPr>
        <w:t>原则上每年进行四次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标识评价</w:t>
      </w:r>
      <w:r>
        <w:rPr>
          <w:rFonts w:hint="eastAsia" w:ascii="仿宋" w:hAnsi="仿宋" w:eastAsia="仿宋"/>
          <w:sz w:val="30"/>
          <w:szCs w:val="30"/>
          <w:highlight w:val="none"/>
        </w:rPr>
        <w:t>活动，必要时可作适当调整。</w:t>
      </w:r>
    </w:p>
    <w:p>
      <w:pPr>
        <w:spacing w:line="360" w:lineRule="auto"/>
        <w:ind w:firstLine="602" w:firstLineChars="200"/>
        <w:rPr>
          <w:rFonts w:ascii="仿宋" w:hAnsi="仿宋" w:eastAsia="仿宋"/>
          <w:b/>
          <w:sz w:val="30"/>
          <w:szCs w:val="30"/>
          <w:highlight w:val="none"/>
        </w:rPr>
      </w:pPr>
      <w:r>
        <w:rPr>
          <w:rFonts w:hint="eastAsia" w:ascii="仿宋" w:hAnsi="仿宋" w:eastAsia="仿宋"/>
          <w:b/>
          <w:sz w:val="30"/>
          <w:szCs w:val="30"/>
          <w:highlight w:val="none"/>
        </w:rPr>
        <w:t xml:space="preserve">第十条 </w:t>
      </w:r>
      <w:r>
        <w:rPr>
          <w:rFonts w:hint="eastAsia" w:ascii="仿宋" w:hAnsi="仿宋" w:eastAsia="仿宋"/>
          <w:b w:val="0"/>
          <w:bCs/>
          <w:sz w:val="30"/>
          <w:szCs w:val="30"/>
          <w:highlight w:val="none"/>
          <w:lang w:eastAsia="zh-CN"/>
        </w:rPr>
        <w:t>河北省超低能耗建筑行业协会</w:t>
      </w:r>
      <w:r>
        <w:rPr>
          <w:rFonts w:hint="eastAsia" w:ascii="仿宋" w:hAnsi="仿宋" w:eastAsia="仿宋"/>
          <w:sz w:val="30"/>
          <w:szCs w:val="30"/>
          <w:highlight w:val="none"/>
        </w:rPr>
        <w:t>吸纳全国知名行业专家组建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被动式超低能耗建筑动态</w:t>
      </w:r>
      <w:r>
        <w:rPr>
          <w:rFonts w:hint="eastAsia" w:ascii="仿宋" w:hAnsi="仿宋" w:eastAsia="仿宋"/>
          <w:sz w:val="30"/>
          <w:szCs w:val="30"/>
          <w:highlight w:val="none"/>
        </w:rPr>
        <w:t>专家库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（河北省住房和城乡建设厅专家库均为协会专家库成员）</w:t>
      </w:r>
      <w:r>
        <w:rPr>
          <w:rFonts w:hint="eastAsia" w:ascii="仿宋" w:hAnsi="仿宋" w:eastAsia="仿宋"/>
          <w:sz w:val="30"/>
          <w:szCs w:val="30"/>
          <w:highlight w:val="none"/>
        </w:rPr>
        <w:t>。</w:t>
      </w:r>
    </w:p>
    <w:p>
      <w:pPr>
        <w:spacing w:line="360" w:lineRule="auto"/>
        <w:ind w:firstLine="602" w:firstLineChars="200"/>
        <w:rPr>
          <w:rFonts w:hint="eastAsia" w:ascii="仿宋" w:hAnsi="仿宋" w:eastAsia="仿宋"/>
          <w:sz w:val="30"/>
          <w:szCs w:val="30"/>
          <w:highlight w:val="none"/>
          <w:lang w:eastAsia="zh-CN"/>
        </w:rPr>
      </w:pPr>
      <w:r>
        <w:rPr>
          <w:rFonts w:hint="eastAsia" w:ascii="仿宋" w:hAnsi="仿宋" w:eastAsia="仿宋"/>
          <w:b/>
          <w:sz w:val="30"/>
          <w:szCs w:val="30"/>
          <w:highlight w:val="none"/>
        </w:rPr>
        <w:t xml:space="preserve">第十一条 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标识评价</w:t>
      </w:r>
      <w:r>
        <w:rPr>
          <w:rFonts w:ascii="仿宋" w:hAnsi="仿宋" w:eastAsia="仿宋"/>
          <w:sz w:val="30"/>
          <w:szCs w:val="30"/>
          <w:highlight w:val="none"/>
        </w:rPr>
        <w:t>工作由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河北省超低能耗建筑行业协会</w:t>
      </w:r>
      <w:r>
        <w:rPr>
          <w:rFonts w:hint="eastAsia" w:ascii="仿宋" w:hAnsi="仿宋" w:eastAsia="仿宋"/>
          <w:sz w:val="30"/>
          <w:szCs w:val="30"/>
          <w:highlight w:val="none"/>
        </w:rPr>
        <w:t>组织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开展</w:t>
      </w:r>
      <w:r>
        <w:rPr>
          <w:rFonts w:hint="eastAsia" w:ascii="仿宋" w:hAnsi="仿宋" w:eastAsia="仿宋"/>
          <w:sz w:val="30"/>
          <w:szCs w:val="30"/>
          <w:highlight w:val="none"/>
          <w:lang w:val="en-US" w:eastAsia="zh-CN"/>
        </w:rPr>
        <w:t>,</w:t>
      </w:r>
      <w:r>
        <w:rPr>
          <w:rFonts w:hint="eastAsia" w:ascii="仿宋" w:hAnsi="仿宋" w:eastAsia="仿宋"/>
          <w:sz w:val="30"/>
          <w:szCs w:val="30"/>
          <w:highlight w:val="none"/>
          <w:lang w:eastAsia="zh-CN"/>
        </w:rPr>
        <w:t>接受省</w:t>
      </w:r>
      <w:r>
        <w:rPr>
          <w:rFonts w:hint="eastAsia" w:ascii="仿宋" w:hAnsi="仿宋" w:eastAsia="仿宋"/>
          <w:sz w:val="30"/>
          <w:szCs w:val="30"/>
          <w:highlight w:val="none"/>
          <w:lang w:val="en-US" w:eastAsia="zh-CN"/>
        </w:rPr>
        <w:t>住房和城乡建设主管部门的指导和监督，评价专家从省住房和城乡建设主管部门专家库内抽取</w:t>
      </w:r>
      <w:r>
        <w:rPr>
          <w:rFonts w:hint="eastAsia" w:ascii="仿宋" w:hAnsi="仿宋" w:eastAsia="仿宋"/>
          <w:sz w:val="30"/>
          <w:szCs w:val="30"/>
          <w:highlight w:val="none"/>
        </w:rPr>
        <w:t>。</w:t>
      </w:r>
    </w:p>
    <w:p>
      <w:pPr>
        <w:spacing w:line="360" w:lineRule="auto"/>
        <w:ind w:firstLine="602" w:firstLineChars="20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  <w:highlight w:val="none"/>
        </w:rPr>
        <w:t xml:space="preserve">第十二条 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河北省超低能耗建筑行业协会负责标识评价</w:t>
      </w:r>
      <w:r>
        <w:rPr>
          <w:rFonts w:hint="eastAsia" w:ascii="Times New Roman" w:hAnsi="Times New Roman" w:eastAsia="仿宋" w:cs="Times New Roman"/>
          <w:sz w:val="30"/>
          <w:szCs w:val="30"/>
        </w:rPr>
        <w:t>、证书和标识牌的颁发及</w:t>
      </w:r>
      <w:r>
        <w:rPr>
          <w:rFonts w:ascii="Times New Roman" w:hAnsi="Times New Roman" w:eastAsia="仿宋" w:cs="Times New Roman"/>
          <w:sz w:val="30"/>
          <w:szCs w:val="30"/>
        </w:rPr>
        <w:t>日常管理工作，</w:t>
      </w:r>
      <w:r>
        <w:rPr>
          <w:rFonts w:hint="eastAsia" w:ascii="Times New Roman" w:hAnsi="Times New Roman" w:eastAsia="仿宋" w:cs="Times New Roman"/>
          <w:sz w:val="30"/>
          <w:szCs w:val="30"/>
        </w:rPr>
        <w:t>主要包括</w:t>
      </w:r>
      <w:r>
        <w:rPr>
          <w:rFonts w:ascii="Times New Roman" w:hAnsi="Times New Roman" w:eastAsia="仿宋" w:cs="Times New Roman"/>
          <w:sz w:val="30"/>
          <w:szCs w:val="30"/>
        </w:rPr>
        <w:t>：受理申报</w:t>
      </w:r>
      <w:r>
        <w:rPr>
          <w:rFonts w:hint="eastAsia" w:ascii="Times New Roman" w:hAnsi="Times New Roman" w:eastAsia="仿宋" w:cs="Times New Roman"/>
          <w:sz w:val="30"/>
          <w:szCs w:val="30"/>
        </w:rPr>
        <w:t>材</w:t>
      </w:r>
      <w:r>
        <w:rPr>
          <w:rFonts w:ascii="Times New Roman" w:hAnsi="Times New Roman" w:eastAsia="仿宋" w:cs="Times New Roman"/>
          <w:sz w:val="30"/>
          <w:szCs w:val="30"/>
        </w:rPr>
        <w:t>料，</w:t>
      </w:r>
      <w:r>
        <w:rPr>
          <w:rFonts w:hint="eastAsia" w:ascii="Times New Roman" w:hAnsi="Times New Roman" w:eastAsia="仿宋" w:cs="Times New Roman"/>
          <w:sz w:val="30"/>
          <w:szCs w:val="30"/>
        </w:rPr>
        <w:t>评定</w:t>
      </w:r>
      <w:r>
        <w:rPr>
          <w:rFonts w:ascii="Times New Roman" w:hAnsi="Times New Roman" w:eastAsia="仿宋" w:cs="Times New Roman"/>
          <w:sz w:val="30"/>
          <w:szCs w:val="30"/>
        </w:rPr>
        <w:t>组织管理工作；组织项目评</w:t>
      </w:r>
      <w:r>
        <w:rPr>
          <w:rFonts w:hint="eastAsia" w:ascii="Times New Roman" w:hAnsi="Times New Roman" w:eastAsia="仿宋" w:cs="Times New Roman"/>
          <w:sz w:val="30"/>
          <w:szCs w:val="30"/>
        </w:rPr>
        <w:t>定</w:t>
      </w:r>
      <w:r>
        <w:rPr>
          <w:rFonts w:ascii="Times New Roman" w:hAnsi="Times New Roman" w:eastAsia="仿宋" w:cs="Times New Roman"/>
          <w:sz w:val="30"/>
          <w:szCs w:val="30"/>
        </w:rPr>
        <w:t>，制作并颁发证书和标识牌；建立</w:t>
      </w:r>
      <w:r>
        <w:rPr>
          <w:rFonts w:hint="eastAsia" w:ascii="Times New Roman" w:hAnsi="Times New Roman" w:eastAsia="仿宋" w:cs="Times New Roman"/>
          <w:sz w:val="30"/>
          <w:szCs w:val="30"/>
        </w:rPr>
        <w:t>和</w:t>
      </w:r>
      <w:r>
        <w:rPr>
          <w:rFonts w:ascii="Times New Roman" w:hAnsi="Times New Roman" w:eastAsia="仿宋" w:cs="Times New Roman"/>
          <w:sz w:val="30"/>
          <w:szCs w:val="30"/>
        </w:rPr>
        <w:t>管理工作档案</w:t>
      </w:r>
      <w:r>
        <w:rPr>
          <w:rFonts w:hint="eastAsia" w:ascii="Times New Roman" w:hAnsi="Times New Roman" w:eastAsia="仿宋" w:cs="Times New Roman"/>
          <w:sz w:val="30"/>
          <w:szCs w:val="30"/>
        </w:rPr>
        <w:t>，</w:t>
      </w:r>
      <w:r>
        <w:rPr>
          <w:rFonts w:ascii="Times New Roman" w:hAnsi="Times New Roman" w:eastAsia="仿宋" w:cs="Times New Roman"/>
          <w:sz w:val="30"/>
          <w:szCs w:val="30"/>
        </w:rPr>
        <w:t>受理查询</w:t>
      </w:r>
      <w:r>
        <w:rPr>
          <w:rFonts w:hint="eastAsia" w:ascii="Times New Roman" w:hAnsi="Times New Roman" w:eastAsia="仿宋" w:cs="Times New Roman"/>
          <w:sz w:val="30"/>
          <w:szCs w:val="30"/>
        </w:rPr>
        <w:t>事宜</w:t>
      </w:r>
      <w:r>
        <w:rPr>
          <w:rFonts w:ascii="Times New Roman" w:hAnsi="Times New Roman" w:eastAsia="仿宋" w:cs="Times New Roman"/>
          <w:sz w:val="30"/>
          <w:szCs w:val="30"/>
        </w:rPr>
        <w:t>等。</w:t>
      </w:r>
    </w:p>
    <w:p>
      <w:pPr>
        <w:spacing w:line="360" w:lineRule="auto"/>
        <w:ind w:firstLine="602" w:firstLineChars="20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三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河北省超低能耗建筑行业协会</w:t>
      </w:r>
      <w:r>
        <w:rPr>
          <w:rFonts w:hint="eastAsia" w:ascii="Times New Roman" w:hAnsi="Times New Roman" w:eastAsia="仿宋" w:cs="Times New Roman"/>
          <w:sz w:val="30"/>
          <w:szCs w:val="30"/>
        </w:rPr>
        <w:t>应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及时</w:t>
      </w:r>
      <w:r>
        <w:rPr>
          <w:rFonts w:hint="eastAsia" w:ascii="Times New Roman" w:hAnsi="Times New Roman" w:eastAsia="仿宋" w:cs="Times New Roman"/>
          <w:sz w:val="30"/>
          <w:szCs w:val="30"/>
        </w:rPr>
        <w:t>定期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公示项目评价情况</w:t>
      </w:r>
      <w:r>
        <w:rPr>
          <w:rFonts w:hint="eastAsia" w:ascii="Times New Roman" w:hAnsi="Times New Roman" w:eastAsia="仿宋" w:cs="Times New Roman"/>
          <w:sz w:val="30"/>
          <w:szCs w:val="30"/>
        </w:rPr>
        <w:t>，以便接受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社会</w:t>
      </w:r>
      <w:r>
        <w:rPr>
          <w:rFonts w:hint="eastAsia" w:ascii="Times New Roman" w:hAnsi="Times New Roman" w:eastAsia="仿宋" w:cs="Times New Roman"/>
          <w:sz w:val="30"/>
          <w:szCs w:val="30"/>
        </w:rPr>
        <w:t>监督。</w:t>
      </w:r>
    </w:p>
    <w:p>
      <w:pPr>
        <w:spacing w:beforeLines="10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第三章</w:t>
      </w:r>
      <w:r>
        <w:rPr>
          <w:rFonts w:hint="eastAsia"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申请条件及程序</w:t>
      </w:r>
    </w:p>
    <w:p>
      <w:pPr>
        <w:pStyle w:val="15"/>
        <w:spacing w:beforeLines="50"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四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标识评价</w:t>
      </w:r>
      <w:r>
        <w:rPr>
          <w:rFonts w:ascii="Times New Roman" w:hAnsi="Times New Roman" w:eastAsia="仿宋" w:cs="Times New Roman"/>
          <w:sz w:val="30"/>
          <w:szCs w:val="30"/>
        </w:rPr>
        <w:t>申请应由</w:t>
      </w:r>
      <w:r>
        <w:rPr>
          <w:rFonts w:hint="eastAsia" w:ascii="Times New Roman" w:hAnsi="Times New Roman" w:eastAsia="仿宋" w:cs="Times New Roman"/>
          <w:sz w:val="30"/>
          <w:szCs w:val="30"/>
        </w:rPr>
        <w:t>建设</w:t>
      </w:r>
      <w:r>
        <w:rPr>
          <w:rFonts w:ascii="Times New Roman" w:hAnsi="Times New Roman" w:eastAsia="仿宋" w:cs="Times New Roman"/>
          <w:sz w:val="30"/>
          <w:szCs w:val="30"/>
        </w:rPr>
        <w:t>单位提出，鼓励设计、咨询、施工和物业管理单位等共同参与申请。申请单位应提供真实、完整的申报材料。所需材料见附件。</w:t>
      </w:r>
    </w:p>
    <w:p>
      <w:pPr>
        <w:pStyle w:val="15"/>
        <w:spacing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五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河北省超低能耗建筑行业协会</w:t>
      </w:r>
      <w:r>
        <w:rPr>
          <w:rFonts w:ascii="Times New Roman" w:hAnsi="Times New Roman" w:eastAsia="仿宋" w:cs="Times New Roman"/>
          <w:sz w:val="30"/>
          <w:szCs w:val="30"/>
        </w:rPr>
        <w:t>在收到申请</w:t>
      </w:r>
      <w:r>
        <w:rPr>
          <w:rFonts w:hint="eastAsia" w:ascii="Times New Roman" w:hAnsi="Times New Roman" w:eastAsia="仿宋" w:cs="Times New Roman"/>
          <w:sz w:val="30"/>
          <w:szCs w:val="30"/>
        </w:rPr>
        <w:t>材</w:t>
      </w:r>
      <w:r>
        <w:rPr>
          <w:rFonts w:ascii="Times New Roman" w:hAnsi="Times New Roman" w:eastAsia="仿宋" w:cs="Times New Roman"/>
          <w:sz w:val="30"/>
          <w:szCs w:val="30"/>
        </w:rPr>
        <w:t>料后10 个工作日内</w:t>
      </w:r>
      <w:r>
        <w:rPr>
          <w:rFonts w:hint="eastAsia" w:ascii="Times New Roman" w:hAnsi="Times New Roman" w:eastAsia="仿宋" w:cs="Times New Roman"/>
          <w:sz w:val="30"/>
          <w:szCs w:val="30"/>
        </w:rPr>
        <w:t>进行</w:t>
      </w:r>
      <w:r>
        <w:rPr>
          <w:rFonts w:ascii="Times New Roman" w:hAnsi="Times New Roman" w:eastAsia="仿宋" w:cs="Times New Roman"/>
          <w:sz w:val="30"/>
          <w:szCs w:val="30"/>
        </w:rPr>
        <w:t>形式审查，若</w:t>
      </w:r>
      <w:r>
        <w:rPr>
          <w:rFonts w:hint="eastAsia" w:ascii="Times New Roman" w:hAnsi="Times New Roman" w:eastAsia="仿宋" w:cs="Times New Roman"/>
          <w:sz w:val="30"/>
          <w:szCs w:val="30"/>
        </w:rPr>
        <w:t>材料不齐</w:t>
      </w:r>
      <w:r>
        <w:rPr>
          <w:rFonts w:ascii="Times New Roman" w:hAnsi="Times New Roman" w:eastAsia="仿宋" w:cs="Times New Roman"/>
          <w:sz w:val="30"/>
          <w:szCs w:val="30"/>
        </w:rPr>
        <w:t>，则告知申请单位限期补正</w:t>
      </w:r>
      <w:r>
        <w:rPr>
          <w:rFonts w:hint="eastAsia" w:ascii="Times New Roman" w:hAnsi="Times New Roman" w:eastAsia="仿宋" w:cs="Times New Roman"/>
          <w:sz w:val="30"/>
          <w:szCs w:val="30"/>
        </w:rPr>
        <w:t>。形式审查合格的项目，则正式受理申请。自正式受理申请</w:t>
      </w:r>
      <w:r>
        <w:rPr>
          <w:rFonts w:ascii="Times New Roman" w:hAnsi="Times New Roman" w:eastAsia="仿宋" w:cs="Times New Roman"/>
          <w:sz w:val="30"/>
          <w:szCs w:val="30"/>
        </w:rPr>
        <w:t>20 个工作日内完成评</w:t>
      </w:r>
      <w:r>
        <w:rPr>
          <w:rFonts w:hint="eastAsia" w:ascii="Times New Roman" w:hAnsi="Times New Roman" w:eastAsia="仿宋" w:cs="Times New Roman"/>
          <w:sz w:val="30"/>
          <w:szCs w:val="30"/>
        </w:rPr>
        <w:t>定工作</w:t>
      </w:r>
      <w:r>
        <w:rPr>
          <w:rFonts w:ascii="Times New Roman" w:hAnsi="Times New Roman" w:eastAsia="仿宋" w:cs="Times New Roman"/>
          <w:sz w:val="30"/>
          <w:szCs w:val="30"/>
        </w:rPr>
        <w:t>，给出评</w:t>
      </w:r>
      <w:r>
        <w:rPr>
          <w:rFonts w:hint="eastAsia" w:ascii="Times New Roman" w:hAnsi="Times New Roman" w:eastAsia="仿宋" w:cs="Times New Roman"/>
          <w:sz w:val="30"/>
          <w:szCs w:val="30"/>
        </w:rPr>
        <w:t>审</w:t>
      </w:r>
      <w:r>
        <w:rPr>
          <w:rFonts w:ascii="Times New Roman" w:hAnsi="Times New Roman" w:eastAsia="仿宋" w:cs="Times New Roman"/>
          <w:sz w:val="30"/>
          <w:szCs w:val="30"/>
        </w:rPr>
        <w:t>意见。</w:t>
      </w:r>
    </w:p>
    <w:p>
      <w:pPr>
        <w:pStyle w:val="15"/>
        <w:spacing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六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ascii="Times New Roman" w:hAnsi="Times New Roman" w:eastAsia="仿宋" w:cs="Times New Roman"/>
          <w:sz w:val="30"/>
          <w:szCs w:val="30"/>
        </w:rPr>
        <w:t>对需要补充解释性材料或个别内容修改的项目，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河北省超低能耗建筑行业协会（简称“协会”）</w:t>
      </w:r>
      <w:r>
        <w:rPr>
          <w:rFonts w:ascii="Times New Roman" w:hAnsi="Times New Roman" w:eastAsia="仿宋" w:cs="Times New Roman"/>
          <w:sz w:val="30"/>
          <w:szCs w:val="30"/>
        </w:rPr>
        <w:t>根据评</w:t>
      </w:r>
      <w:r>
        <w:rPr>
          <w:rFonts w:hint="eastAsia" w:ascii="Times New Roman" w:hAnsi="Times New Roman" w:eastAsia="仿宋" w:cs="Times New Roman"/>
          <w:sz w:val="30"/>
          <w:szCs w:val="30"/>
        </w:rPr>
        <w:t>审</w:t>
      </w:r>
      <w:r>
        <w:rPr>
          <w:rFonts w:ascii="Times New Roman" w:hAnsi="Times New Roman" w:eastAsia="仿宋" w:cs="Times New Roman"/>
          <w:sz w:val="30"/>
          <w:szCs w:val="30"/>
        </w:rPr>
        <w:t>意见，函复申请单位，由申请单位提交补充材料或修改内容，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协会</w:t>
      </w:r>
      <w:r>
        <w:rPr>
          <w:rFonts w:ascii="Times New Roman" w:hAnsi="Times New Roman" w:eastAsia="仿宋" w:cs="Times New Roman"/>
          <w:sz w:val="30"/>
          <w:szCs w:val="30"/>
        </w:rPr>
        <w:t>收到补充材料15个工作日内完成复审。未通过审核的项目，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协会</w:t>
      </w:r>
      <w:r>
        <w:rPr>
          <w:rFonts w:ascii="Times New Roman" w:hAnsi="Times New Roman" w:eastAsia="仿宋" w:cs="Times New Roman"/>
          <w:sz w:val="30"/>
          <w:szCs w:val="30"/>
        </w:rPr>
        <w:t>在评审结论做出后5个工作日内</w:t>
      </w:r>
      <w:r>
        <w:rPr>
          <w:rFonts w:hint="eastAsia" w:ascii="Times New Roman" w:hAnsi="Times New Roman" w:eastAsia="仿宋" w:cs="Times New Roman"/>
          <w:sz w:val="30"/>
          <w:szCs w:val="30"/>
        </w:rPr>
        <w:t>书面</w:t>
      </w:r>
      <w:r>
        <w:rPr>
          <w:rFonts w:ascii="Times New Roman" w:hAnsi="Times New Roman" w:eastAsia="仿宋" w:cs="Times New Roman"/>
          <w:sz w:val="30"/>
          <w:szCs w:val="30"/>
        </w:rPr>
        <w:t>通知申请单位；通过评审的项目在</w:t>
      </w:r>
      <w:r>
        <w:rPr>
          <w:rFonts w:hint="eastAsia" w:ascii="仿宋" w:hAnsi="仿宋" w:eastAsia="仿宋"/>
          <w:sz w:val="30"/>
          <w:szCs w:val="30"/>
          <w:lang w:eastAsia="zh-CN"/>
        </w:rPr>
        <w:t>协会网站和公众号等相关媒体</w:t>
      </w:r>
      <w:r>
        <w:rPr>
          <w:rFonts w:hint="eastAsia" w:ascii="Times New Roman" w:hAnsi="Times New Roman" w:eastAsia="仿宋" w:cs="Times New Roman"/>
          <w:sz w:val="30"/>
          <w:szCs w:val="30"/>
        </w:rPr>
        <w:t>公示7</w:t>
      </w:r>
      <w:r>
        <w:rPr>
          <w:rFonts w:ascii="Times New Roman" w:hAnsi="Times New Roman" w:eastAsia="仿宋" w:cs="Times New Roman"/>
          <w:sz w:val="30"/>
          <w:szCs w:val="30"/>
        </w:rPr>
        <w:t>个</w:t>
      </w:r>
      <w:r>
        <w:rPr>
          <w:rFonts w:hint="eastAsia" w:ascii="Times New Roman" w:hAnsi="Times New Roman" w:eastAsia="仿宋" w:cs="Times New Roman"/>
          <w:sz w:val="30"/>
          <w:szCs w:val="30"/>
        </w:rPr>
        <w:t>工作日</w:t>
      </w:r>
      <w:r>
        <w:rPr>
          <w:rFonts w:ascii="Times New Roman" w:hAnsi="Times New Roman" w:eastAsia="仿宋" w:cs="Times New Roman"/>
          <w:sz w:val="30"/>
          <w:szCs w:val="30"/>
        </w:rPr>
        <w:t>，经公示后无异议或有异议但已协调解决的，由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协会</w:t>
      </w:r>
      <w:r>
        <w:rPr>
          <w:rFonts w:hint="eastAsia" w:ascii="Times New Roman" w:hAnsi="Times New Roman" w:eastAsia="仿宋" w:cs="Times New Roman"/>
          <w:sz w:val="30"/>
          <w:szCs w:val="30"/>
        </w:rPr>
        <w:t>确定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通过评价</w:t>
      </w:r>
      <w:r>
        <w:rPr>
          <w:rFonts w:ascii="Times New Roman" w:hAnsi="Times New Roman" w:eastAsia="仿宋" w:cs="Times New Roman"/>
          <w:sz w:val="30"/>
          <w:szCs w:val="30"/>
        </w:rPr>
        <w:t>。</w:t>
      </w:r>
    </w:p>
    <w:p>
      <w:pPr>
        <w:pStyle w:val="15"/>
        <w:spacing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七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协会</w:t>
      </w:r>
      <w:r>
        <w:rPr>
          <w:rFonts w:ascii="Times New Roman" w:hAnsi="Times New Roman" w:eastAsia="仿宋" w:cs="Times New Roman"/>
          <w:sz w:val="30"/>
          <w:szCs w:val="30"/>
        </w:rPr>
        <w:t>为通过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标识评价</w:t>
      </w:r>
      <w:r>
        <w:rPr>
          <w:rFonts w:ascii="Times New Roman" w:hAnsi="Times New Roman" w:eastAsia="仿宋" w:cs="Times New Roman"/>
          <w:sz w:val="30"/>
          <w:szCs w:val="30"/>
        </w:rPr>
        <w:t>的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被动式超低能耗建筑项目</w:t>
      </w:r>
      <w:r>
        <w:rPr>
          <w:rFonts w:ascii="Times New Roman" w:hAnsi="Times New Roman" w:eastAsia="仿宋" w:cs="Times New Roman"/>
          <w:sz w:val="30"/>
          <w:szCs w:val="30"/>
        </w:rPr>
        <w:t>颁发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预评价</w:t>
      </w:r>
      <w:r>
        <w:rPr>
          <w:rFonts w:hint="eastAsia" w:ascii="Times New Roman" w:hAnsi="Times New Roman" w:eastAsia="仿宋" w:cs="Times New Roman"/>
          <w:sz w:val="30"/>
          <w:szCs w:val="30"/>
        </w:rPr>
        <w:t>书、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标识评价</w:t>
      </w:r>
      <w:r>
        <w:rPr>
          <w:rFonts w:ascii="Times New Roman" w:hAnsi="Times New Roman" w:eastAsia="仿宋" w:cs="Times New Roman"/>
          <w:sz w:val="30"/>
          <w:szCs w:val="30"/>
        </w:rPr>
        <w:t>证书和具有当年批次的标识牌。</w:t>
      </w:r>
    </w:p>
    <w:p>
      <w:pPr>
        <w:spacing w:beforeLines="10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第四章</w:t>
      </w:r>
      <w:r>
        <w:rPr>
          <w:rFonts w:hint="eastAsia"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监督</w:t>
      </w:r>
      <w:r>
        <w:rPr>
          <w:rFonts w:hint="eastAsia" w:ascii="Times New Roman" w:hAnsi="Times New Roman" w:cs="Times New Roman"/>
          <w:sz w:val="30"/>
          <w:szCs w:val="30"/>
        </w:rPr>
        <w:t>管理</w:t>
      </w:r>
    </w:p>
    <w:p>
      <w:pPr>
        <w:pStyle w:val="15"/>
        <w:spacing w:beforeLines="50"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八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>条</w:t>
      </w:r>
      <w:r>
        <w:rPr>
          <w:rFonts w:hint="eastAsia" w:ascii="Times New Roman" w:hAnsi="Times New Roman" w:eastAsia="仿宋" w:cs="Times New Roman"/>
          <w:sz w:val="30"/>
          <w:szCs w:val="30"/>
        </w:rPr>
        <w:t xml:space="preserve">  证书和标识牌的有效期为三年，期满后，建设单位自愿申请复审。</w:t>
      </w:r>
    </w:p>
    <w:p>
      <w:pPr>
        <w:pStyle w:val="15"/>
        <w:spacing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十九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ascii="Times New Roman" w:hAnsi="Times New Roman" w:eastAsia="仿宋" w:cs="Times New Roman"/>
          <w:sz w:val="30"/>
          <w:szCs w:val="30"/>
        </w:rPr>
        <w:t>任何单位和个人不得利用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</w:t>
      </w:r>
      <w:r>
        <w:rPr>
          <w:rFonts w:ascii="Times New Roman" w:hAnsi="Times New Roman" w:eastAsia="仿宋" w:cs="Times New Roman"/>
          <w:sz w:val="30"/>
          <w:szCs w:val="30"/>
        </w:rPr>
        <w:t>进行虚假宣传，不得</w:t>
      </w:r>
      <w:r>
        <w:rPr>
          <w:rFonts w:hint="eastAsia" w:ascii="Times New Roman" w:hAnsi="Times New Roman" w:eastAsia="仿宋" w:cs="Times New Roman"/>
          <w:sz w:val="30"/>
          <w:szCs w:val="30"/>
        </w:rPr>
        <w:t>出借、</w:t>
      </w:r>
      <w:r>
        <w:rPr>
          <w:rFonts w:ascii="Times New Roman" w:hAnsi="Times New Roman" w:eastAsia="仿宋" w:cs="Times New Roman"/>
          <w:sz w:val="30"/>
          <w:szCs w:val="30"/>
        </w:rPr>
        <w:t>转让</w:t>
      </w:r>
      <w:r>
        <w:rPr>
          <w:rFonts w:hint="eastAsia" w:ascii="Times New Roman" w:hAnsi="Times New Roman" w:eastAsia="仿宋" w:cs="Times New Roman"/>
          <w:sz w:val="30"/>
          <w:szCs w:val="30"/>
        </w:rPr>
        <w:t>，不得</w:t>
      </w:r>
      <w:r>
        <w:rPr>
          <w:rFonts w:ascii="Times New Roman" w:hAnsi="Times New Roman" w:eastAsia="仿宋" w:cs="Times New Roman"/>
          <w:sz w:val="30"/>
          <w:szCs w:val="30"/>
        </w:rPr>
        <w:t>伪造</w:t>
      </w:r>
      <w:r>
        <w:rPr>
          <w:rFonts w:hint="eastAsia" w:ascii="Times New Roman" w:hAnsi="Times New Roman" w:eastAsia="仿宋" w:cs="Times New Roman"/>
          <w:sz w:val="30"/>
          <w:szCs w:val="30"/>
        </w:rPr>
        <w:t>、</w:t>
      </w:r>
      <w:r>
        <w:rPr>
          <w:rFonts w:ascii="Times New Roman" w:hAnsi="Times New Roman" w:eastAsia="仿宋" w:cs="Times New Roman"/>
          <w:sz w:val="30"/>
          <w:szCs w:val="30"/>
        </w:rPr>
        <w:t>冒用。</w:t>
      </w:r>
    </w:p>
    <w:p>
      <w:pPr>
        <w:pStyle w:val="15"/>
        <w:spacing w:line="360" w:lineRule="auto"/>
        <w:ind w:firstLine="602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第二十条 </w:t>
      </w:r>
      <w:r>
        <w:rPr>
          <w:rFonts w:ascii="Times New Roman" w:hAnsi="Times New Roman" w:eastAsia="仿宋" w:cs="Times New Roman"/>
          <w:sz w:val="30"/>
          <w:szCs w:val="30"/>
        </w:rPr>
        <w:t>凡有下列情</w:t>
      </w:r>
      <w:r>
        <w:rPr>
          <w:rFonts w:hint="eastAsia" w:ascii="Times New Roman" w:hAnsi="Times New Roman" w:eastAsia="仿宋" w:cs="Times New Roman"/>
          <w:sz w:val="30"/>
          <w:szCs w:val="30"/>
        </w:rPr>
        <w:t>形</w:t>
      </w:r>
      <w:r>
        <w:rPr>
          <w:rFonts w:ascii="Times New Roman" w:hAnsi="Times New Roman" w:eastAsia="仿宋" w:cs="Times New Roman"/>
          <w:sz w:val="30"/>
          <w:szCs w:val="30"/>
        </w:rPr>
        <w:t>之一者，</w:t>
      </w:r>
      <w:r>
        <w:rPr>
          <w:rFonts w:hint="eastAsia" w:ascii="Times New Roman" w:hAnsi="Times New Roman" w:eastAsia="仿宋" w:cs="Times New Roman"/>
          <w:sz w:val="30"/>
          <w:szCs w:val="30"/>
        </w:rPr>
        <w:t>暂停</w:t>
      </w:r>
      <w:r>
        <w:rPr>
          <w:rFonts w:ascii="Times New Roman" w:hAnsi="Times New Roman" w:eastAsia="仿宋" w:cs="Times New Roman"/>
          <w:sz w:val="30"/>
          <w:szCs w:val="30"/>
        </w:rPr>
        <w:t>使用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</w:t>
      </w:r>
      <w:r>
        <w:rPr>
          <w:rFonts w:ascii="Times New Roman" w:hAnsi="Times New Roman" w:eastAsia="仿宋" w:cs="Times New Roman"/>
          <w:sz w:val="30"/>
          <w:szCs w:val="30"/>
        </w:rPr>
        <w:t>：</w:t>
      </w:r>
    </w:p>
    <w:p>
      <w:pPr>
        <w:pStyle w:val="15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ascii="Times New Roman" w:hAnsi="Times New Roman" w:eastAsia="仿宋" w:cs="Times New Roman"/>
          <w:sz w:val="30"/>
          <w:szCs w:val="30"/>
        </w:rPr>
        <w:t>建筑物实际情况与</w:t>
      </w:r>
      <w:r>
        <w:rPr>
          <w:rFonts w:hint="eastAsia" w:ascii="Times New Roman" w:hAnsi="Times New Roman" w:eastAsia="仿宋" w:cs="Times New Roman"/>
          <w:sz w:val="30"/>
          <w:szCs w:val="30"/>
          <w:lang w:eastAsia="zh-CN"/>
        </w:rPr>
        <w:t>标识评价</w:t>
      </w:r>
      <w:r>
        <w:rPr>
          <w:rFonts w:ascii="Times New Roman" w:hAnsi="Times New Roman" w:eastAsia="仿宋" w:cs="Times New Roman"/>
          <w:sz w:val="30"/>
          <w:szCs w:val="30"/>
        </w:rPr>
        <w:t>申报信息要求不符</w:t>
      </w:r>
      <w:r>
        <w:rPr>
          <w:rFonts w:hint="eastAsia" w:ascii="Times New Roman" w:hAnsi="Times New Roman" w:eastAsia="仿宋" w:cs="Times New Roman"/>
          <w:sz w:val="30"/>
          <w:szCs w:val="30"/>
        </w:rPr>
        <w:t>的</w:t>
      </w:r>
      <w:r>
        <w:rPr>
          <w:rFonts w:ascii="Times New Roman" w:hAnsi="Times New Roman" w:eastAsia="仿宋" w:cs="Times New Roman"/>
          <w:sz w:val="30"/>
          <w:szCs w:val="30"/>
        </w:rPr>
        <w:t>；</w:t>
      </w:r>
    </w:p>
    <w:p>
      <w:pPr>
        <w:pStyle w:val="15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ascii="Times New Roman" w:hAnsi="Times New Roman" w:eastAsia="仿宋" w:cs="Times New Roman"/>
          <w:sz w:val="30"/>
          <w:szCs w:val="30"/>
        </w:rPr>
        <w:t>证书或标识牌的使用超出</w:t>
      </w:r>
      <w:r>
        <w:rPr>
          <w:rFonts w:hint="eastAsia" w:ascii="Times New Roman" w:hAnsi="Times New Roman" w:eastAsia="仿宋" w:cs="Times New Roman"/>
          <w:sz w:val="30"/>
          <w:szCs w:val="30"/>
        </w:rPr>
        <w:t>认定</w:t>
      </w:r>
      <w:r>
        <w:rPr>
          <w:rFonts w:ascii="Times New Roman" w:hAnsi="Times New Roman" w:eastAsia="仿宋" w:cs="Times New Roman"/>
          <w:sz w:val="30"/>
          <w:szCs w:val="30"/>
        </w:rPr>
        <w:t>范围</w:t>
      </w:r>
      <w:r>
        <w:rPr>
          <w:rFonts w:hint="eastAsia" w:ascii="Times New Roman" w:hAnsi="Times New Roman" w:eastAsia="仿宋" w:cs="Times New Roman"/>
          <w:sz w:val="30"/>
          <w:szCs w:val="30"/>
        </w:rPr>
        <w:t>的</w:t>
      </w:r>
      <w:r>
        <w:rPr>
          <w:rFonts w:ascii="Times New Roman" w:hAnsi="Times New Roman" w:eastAsia="仿宋" w:cs="Times New Roman"/>
          <w:sz w:val="30"/>
          <w:szCs w:val="30"/>
        </w:rPr>
        <w:t>。</w:t>
      </w:r>
    </w:p>
    <w:p>
      <w:pPr>
        <w:spacing w:line="360" w:lineRule="auto"/>
        <w:ind w:firstLine="602" w:firstLineChars="20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第二十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一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凡有下列情</w:t>
      </w:r>
      <w:r>
        <w:rPr>
          <w:rFonts w:hint="eastAsia" w:ascii="Times New Roman" w:hAnsi="Times New Roman" w:eastAsia="仿宋" w:cs="Times New Roman"/>
          <w:color w:val="0C0C0C"/>
          <w:kern w:val="0"/>
          <w:sz w:val="30"/>
          <w:szCs w:val="30"/>
        </w:rPr>
        <w:t>形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之一者，撤销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：</w:t>
      </w:r>
    </w:p>
    <w:p>
      <w:pPr>
        <w:pStyle w:val="15"/>
        <w:numPr>
          <w:ilvl w:val="0"/>
          <w:numId w:val="2"/>
        </w:numPr>
        <w:spacing w:line="360" w:lineRule="auto"/>
        <w:ind w:left="0" w:firstLine="60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以不真实的申请材料</w:t>
      </w:r>
      <w:r>
        <w:rPr>
          <w:rFonts w:hint="eastAsia" w:ascii="Times New Roman" w:hAnsi="Times New Roman" w:eastAsia="仿宋" w:cs="Times New Roman"/>
          <w:color w:val="0C0C0C"/>
          <w:kern w:val="0"/>
          <w:sz w:val="30"/>
          <w:szCs w:val="30"/>
        </w:rPr>
        <w:t>通过</w:t>
      </w:r>
      <w:r>
        <w:rPr>
          <w:rFonts w:hint="eastAsia" w:ascii="Times New Roman" w:hAnsi="Times New Roman" w:eastAsia="仿宋" w:cs="Times New Roman"/>
          <w:color w:val="0C0C0C"/>
          <w:kern w:val="0"/>
          <w:sz w:val="30"/>
          <w:szCs w:val="30"/>
          <w:lang w:eastAsia="zh-CN"/>
        </w:rPr>
        <w:t>标识评价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获得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证书和标识牌的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；</w:t>
      </w:r>
    </w:p>
    <w:p>
      <w:pPr>
        <w:pStyle w:val="15"/>
        <w:numPr>
          <w:ilvl w:val="0"/>
          <w:numId w:val="2"/>
        </w:numPr>
        <w:spacing w:line="360" w:lineRule="auto"/>
        <w:ind w:left="0" w:firstLine="600"/>
        <w:rPr>
          <w:rFonts w:ascii="Times New Roman" w:hAnsi="Times New Roman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sz w:val="30"/>
          <w:szCs w:val="30"/>
        </w:rPr>
        <w:t>出借、</w:t>
      </w:r>
      <w:r>
        <w:rPr>
          <w:rFonts w:ascii="Times New Roman" w:hAnsi="Times New Roman" w:eastAsia="仿宋" w:cs="Times New Roman"/>
          <w:sz w:val="30"/>
          <w:szCs w:val="30"/>
        </w:rPr>
        <w:t>转让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</w:t>
      </w:r>
      <w:r>
        <w:rPr>
          <w:rFonts w:ascii="Times New Roman" w:hAnsi="Times New Roman" w:eastAsia="仿宋" w:cs="Times New Roman"/>
          <w:sz w:val="30"/>
          <w:szCs w:val="30"/>
        </w:rPr>
        <w:t>或违反有关规定</w:t>
      </w:r>
      <w:r>
        <w:rPr>
          <w:rFonts w:hint="eastAsia" w:ascii="Times New Roman" w:hAnsi="Times New Roman" w:eastAsia="仿宋" w:cs="Times New Roman"/>
          <w:sz w:val="30"/>
          <w:szCs w:val="30"/>
        </w:rPr>
        <w:t>，</w:t>
      </w:r>
      <w:r>
        <w:rPr>
          <w:rFonts w:ascii="Times New Roman" w:hAnsi="Times New Roman" w:eastAsia="仿宋" w:cs="Times New Roman"/>
          <w:sz w:val="30"/>
          <w:szCs w:val="30"/>
        </w:rPr>
        <w:t>损害</w:t>
      </w:r>
      <w:r>
        <w:rPr>
          <w:rFonts w:hint="eastAsia" w:ascii="Times New Roman" w:hAnsi="Times New Roman" w:eastAsia="仿宋" w:cs="Times New Roman"/>
          <w:sz w:val="30"/>
          <w:szCs w:val="30"/>
        </w:rPr>
        <w:t>证书和标识牌</w:t>
      </w:r>
      <w:r>
        <w:rPr>
          <w:rFonts w:ascii="Times New Roman" w:hAnsi="Times New Roman" w:eastAsia="仿宋" w:cs="Times New Roman"/>
          <w:sz w:val="30"/>
          <w:szCs w:val="30"/>
        </w:rPr>
        <w:t>信誉</w:t>
      </w:r>
      <w:r>
        <w:rPr>
          <w:rFonts w:hint="eastAsia" w:ascii="Times New Roman" w:hAnsi="Times New Roman" w:eastAsia="仿宋" w:cs="Times New Roman"/>
          <w:sz w:val="30"/>
          <w:szCs w:val="30"/>
        </w:rPr>
        <w:t>的</w:t>
      </w:r>
      <w:r>
        <w:rPr>
          <w:rFonts w:ascii="Times New Roman" w:hAnsi="Times New Roman" w:eastAsia="仿宋" w:cs="Times New Roman"/>
          <w:sz w:val="30"/>
          <w:szCs w:val="30"/>
        </w:rPr>
        <w:t>；</w:t>
      </w:r>
    </w:p>
    <w:p>
      <w:pPr>
        <w:pStyle w:val="15"/>
        <w:numPr>
          <w:ilvl w:val="0"/>
          <w:numId w:val="2"/>
        </w:numPr>
        <w:spacing w:line="360" w:lineRule="auto"/>
        <w:ind w:firstLineChars="0"/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</w:pP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无正当理由拒绝监督</w:t>
      </w:r>
      <w:r>
        <w:rPr>
          <w:rFonts w:hint="eastAsia" w:ascii="Times New Roman" w:hAnsi="Times New Roman" w:eastAsia="仿宋" w:cs="Times New Roman"/>
          <w:color w:val="0C0C0C"/>
          <w:kern w:val="0"/>
          <w:sz w:val="30"/>
          <w:szCs w:val="30"/>
        </w:rPr>
        <w:t>管理的</w:t>
      </w:r>
      <w:r>
        <w:rPr>
          <w:rFonts w:ascii="Times New Roman" w:hAnsi="Times New Roman" w:eastAsia="仿宋" w:cs="Times New Roman"/>
          <w:color w:val="0C0C0C"/>
          <w:kern w:val="0"/>
          <w:sz w:val="30"/>
          <w:szCs w:val="30"/>
        </w:rPr>
        <w:t>。</w:t>
      </w:r>
    </w:p>
    <w:p>
      <w:pPr>
        <w:spacing w:beforeLines="10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第五章</w:t>
      </w:r>
      <w:r>
        <w:rPr>
          <w:rFonts w:hint="eastAsia"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附则</w:t>
      </w:r>
    </w:p>
    <w:p>
      <w:pPr>
        <w:pStyle w:val="15"/>
        <w:spacing w:beforeLines="50" w:line="360" w:lineRule="auto"/>
        <w:ind w:firstLine="602"/>
        <w:rPr>
          <w:rFonts w:ascii="仿宋" w:hAnsi="仿宋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第二十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二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ascii="仿宋" w:hAnsi="仿宋" w:eastAsia="仿宋" w:cs="Times New Roman"/>
          <w:sz w:val="30"/>
          <w:szCs w:val="30"/>
        </w:rPr>
        <w:t>本办法由</w:t>
      </w:r>
      <w:r>
        <w:rPr>
          <w:rFonts w:hint="eastAsia" w:ascii="仿宋" w:hAnsi="仿宋" w:eastAsia="仿宋" w:cs="Times New Roman"/>
          <w:sz w:val="30"/>
          <w:szCs w:val="30"/>
          <w:lang w:eastAsia="zh-CN"/>
        </w:rPr>
        <w:t>河北省超低能耗建筑行业协会</w:t>
      </w:r>
      <w:r>
        <w:rPr>
          <w:rFonts w:ascii="仿宋" w:hAnsi="仿宋" w:eastAsia="仿宋" w:cs="Times New Roman"/>
          <w:sz w:val="30"/>
          <w:szCs w:val="30"/>
        </w:rPr>
        <w:t>负责解释；</w:t>
      </w:r>
    </w:p>
    <w:p>
      <w:pPr>
        <w:pStyle w:val="15"/>
        <w:spacing w:line="360" w:lineRule="auto"/>
        <w:ind w:firstLine="602"/>
        <w:rPr>
          <w:rFonts w:ascii="仿宋" w:hAnsi="仿宋" w:eastAsia="仿宋" w:cs="Times New Roman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sz w:val="30"/>
          <w:szCs w:val="30"/>
        </w:rPr>
        <w:t>第二十</w:t>
      </w:r>
      <w:r>
        <w:rPr>
          <w:rFonts w:hint="eastAsia" w:ascii="Times New Roman" w:hAnsi="Times New Roman" w:eastAsia="仿宋" w:cs="Times New Roman"/>
          <w:b/>
          <w:sz w:val="30"/>
          <w:szCs w:val="30"/>
          <w:lang w:eastAsia="zh-CN"/>
        </w:rPr>
        <w:t>三</w:t>
      </w:r>
      <w:r>
        <w:rPr>
          <w:rFonts w:hint="eastAsia" w:ascii="Times New Roman" w:hAnsi="Times New Roman" w:eastAsia="仿宋" w:cs="Times New Roman"/>
          <w:b/>
          <w:sz w:val="30"/>
          <w:szCs w:val="30"/>
        </w:rPr>
        <w:t xml:space="preserve">条 </w:t>
      </w:r>
      <w:r>
        <w:rPr>
          <w:rFonts w:ascii="仿宋" w:hAnsi="仿宋" w:eastAsia="仿宋" w:cs="Times New Roman"/>
          <w:sz w:val="30"/>
          <w:szCs w:val="30"/>
        </w:rPr>
        <w:t>本办法自发布之日起施行。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pStyle w:val="15"/>
        <w:spacing w:line="360" w:lineRule="auto"/>
        <w:ind w:firstLine="602"/>
        <w:jc w:val="right"/>
        <w:rPr>
          <w:rFonts w:hint="eastAsia" w:ascii="仿宋" w:hAnsi="仿宋" w:eastAsia="仿宋" w:cs="Times New Roman"/>
          <w:sz w:val="30"/>
          <w:szCs w:val="30"/>
          <w:lang w:eastAsia="zh-CN"/>
        </w:rPr>
      </w:pPr>
      <w:r>
        <w:rPr>
          <w:rFonts w:hint="eastAsia" w:ascii="仿宋" w:hAnsi="仿宋" w:eastAsia="仿宋" w:cs="Times New Roman"/>
          <w:sz w:val="30"/>
          <w:szCs w:val="30"/>
          <w:lang w:eastAsia="zh-CN"/>
        </w:rPr>
        <w:t>河北省超低能耗建筑行业协会</w:t>
      </w:r>
    </w:p>
    <w:p>
      <w:pPr>
        <w:pStyle w:val="15"/>
        <w:spacing w:line="360" w:lineRule="auto"/>
        <w:ind w:firstLine="602"/>
        <w:jc w:val="right"/>
        <w:rPr>
          <w:rFonts w:hint="default" w:ascii="仿宋" w:hAnsi="仿宋" w:eastAsia="仿宋" w:cs="Times New Roman"/>
          <w:sz w:val="30"/>
          <w:szCs w:val="30"/>
          <w:lang w:val="en-US" w:eastAsia="zh-CN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start="1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2021年11月28</w:t>
      </w:r>
      <w:bookmarkStart w:id="0" w:name="_GoBack"/>
      <w:bookmarkEnd w:id="0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日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附件：</w:t>
      </w:r>
    </w:p>
    <w:p>
      <w:pPr>
        <w:spacing w:line="360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  <w:lang w:eastAsia="zh-CN"/>
        </w:rPr>
        <w:t>标识评价</w:t>
      </w:r>
      <w:r>
        <w:rPr>
          <w:rFonts w:hint="eastAsia"/>
          <w:b/>
          <w:sz w:val="32"/>
          <w:szCs w:val="32"/>
        </w:rPr>
        <w:t>提供材</w:t>
      </w:r>
      <w:r>
        <w:rPr>
          <w:b/>
          <w:sz w:val="32"/>
          <w:szCs w:val="32"/>
        </w:rPr>
        <w:t>料</w:t>
      </w:r>
      <w:r>
        <w:rPr>
          <w:rFonts w:hint="eastAsia"/>
          <w:b/>
          <w:sz w:val="32"/>
          <w:szCs w:val="32"/>
        </w:rPr>
        <w:t>清单</w:t>
      </w:r>
    </w:p>
    <w:tbl>
      <w:tblPr>
        <w:tblStyle w:val="9"/>
        <w:tblW w:w="13968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4"/>
        <w:gridCol w:w="2838"/>
        <w:gridCol w:w="3939"/>
        <w:gridCol w:w="2341"/>
        <w:gridCol w:w="1333"/>
        <w:gridCol w:w="1333"/>
        <w:gridCol w:w="133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编号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材料名称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说明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要求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cs="Times New Roman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原件</w:t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份数（份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套）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cs="Times New Roman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复印件</w:t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份数（份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套）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b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  <w:jc w:val="center"/>
        </w:trPr>
        <w:tc>
          <w:tcPr>
            <w:tcW w:w="85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书面委托书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建设单位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提供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  <w:jc w:val="center"/>
        </w:trPr>
        <w:tc>
          <w:tcPr>
            <w:tcW w:w="85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相关建设批复文件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建设单位提供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  <w:jc w:val="center"/>
        </w:trPr>
        <w:tc>
          <w:tcPr>
            <w:tcW w:w="85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法人代表身份证件、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委托办理人身份证件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建设单位提供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《河北省</w:t>
            </w:r>
            <w:r>
              <w:rPr>
                <w:rFonts w:hint="eastAsia" w:ascii="Times New Roman" w:cs="Times New Roman" w:hAnsiTheme="minorEastAsia"/>
                <w:sz w:val="24"/>
                <w:szCs w:val="24"/>
                <w:lang w:eastAsia="zh-CN"/>
              </w:rPr>
              <w:t>被动式超低能耗建筑标识评价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申请表》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两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份，加盖建设单位公章</w: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cs="Times New Roman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《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被动式超低能耗建筑</w:t>
            </w:r>
          </w:p>
          <w:p>
            <w:pPr>
              <w:jc w:val="center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基本信息表》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两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份，加盖建设单位公章</w: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4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项目技术方案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包括但不限于：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项目概述、效果图、关键技术指标计算及技术途径、建筑设计（整体布局、体形系数、窗墙比）、围护结构设计（保温及门窗性能）、气密性及无热桥设计、新风系统方案说明及热回收效率、冷热源及末端设计和控制策略、生活热水、电气节能、可再生能源应用等情况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一套，封面加盖设计单位公章</w: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7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主要施工图及计算书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包括但不限于：总平面图、效果图、建筑立面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剖面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典型层平面图、建筑设计说明、工程做法表、关键节点大样图、暖通设计说明、系统图、设备列表、可再生能源设计资料、生活热水系统图、电气设计说明、照明节能设计、能耗监测等图纸和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节能、防结露等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计算书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一套，封面加盖设计单位公章</w: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9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用</w:t>
            </w:r>
            <w:r>
              <w:rPr>
                <w:rFonts w:hint="eastAsia" w:ascii="Times New Roman" w:cs="Times New Roman" w:hAnsiTheme="minorEastAsia"/>
                <w:sz w:val="24"/>
                <w:szCs w:val="24"/>
                <w:lang w:eastAsia="zh-CN"/>
              </w:rPr>
              <w:t>被动式超低能耗建筑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评价软件计算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的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能耗报告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纸质：一份，加盖计算单位公章</w: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6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《施工组织方案》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包括但不限于：外墙、屋面及地面工程，门窗工程，供暖空调和通风系统及设备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，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给排水系统及设备安装，建筑能耗与环境监测系统，电气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工程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，室内外装饰装修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等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施工组织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内容，以及针对热桥控制和气密性保障等关键环节制定的专项施工方案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一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份，加盖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建设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单位公章</w:t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格式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  <w:lang w:eastAsia="zh-CN"/>
              </w:rPr>
              <w:t>检测报告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Times New Roman" w:hAnsi="Times New Roman" w:cs="Times New Roman" w:eastAsiaTheme="minorEastAsia"/>
                <w:sz w:val="24"/>
                <w:szCs w:val="24"/>
                <w:lang w:eastAsia="zh-CN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由具有资质要求的第三方检测机构出具</w:t>
            </w:r>
            <w:r>
              <w:rPr>
                <w:rFonts w:hint="eastAsia" w:ascii="Times New Roman" w:cs="Times New Roman" w:hAnsiTheme="minorEastAsia"/>
                <w:sz w:val="24"/>
                <w:szCs w:val="24"/>
                <w:lang w:eastAsia="zh-CN"/>
              </w:rPr>
              <w:t>，包含但不限于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气密性测试报告</w:t>
            </w:r>
            <w:r>
              <w:rPr>
                <w:rFonts w:hint="eastAsia" w:ascii="Times New Roman" w:cs="Times New Roman" w:hAnsiTheme="minorEastAsia"/>
                <w:sz w:val="24"/>
                <w:szCs w:val="24"/>
                <w:lang w:eastAsia="zh-CN"/>
              </w:rPr>
              <w:t>、热工缺陷测试报告、噪声测试报告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两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份，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复印件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加盖检测机构公章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《新风热回收装置检测</w:t>
            </w:r>
          </w:p>
          <w:p>
            <w:pPr>
              <w:jc w:val="center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报告》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由具有资质要求的第三方检测机构出具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两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份，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复印件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加盖检测机构公章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highlight w:val="none"/>
              </w:rPr>
              <w:t>10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  <w:highlight w:val="none"/>
              </w:rPr>
              <w:t>专项施工隐蔽工程检查验收记录和影像资料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  <w:highlight w:val="none"/>
              </w:rPr>
              <w:t>包括但不限于：</w:t>
            </w:r>
            <w:r>
              <w:rPr>
                <w:rFonts w:hint="eastAsia" w:ascii="Times New Roman" w:cs="Times New Roman" w:hAnsiTheme="minorEastAsia"/>
                <w:sz w:val="24"/>
                <w:szCs w:val="24"/>
                <w:highlight w:val="none"/>
              </w:rPr>
              <w:t>热桥控制和气密性保障等专项施工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cs="Times New Roman" w:hAnsiTheme="minorEastAsia"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纸质：一份，复印件加盖建设单位公章</w:t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电子版：照片或录像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eastAsia" w:ascii="Times New Roman" w:cs="Times New Roman" w:hAnsiTheme="minorEastAsia"/>
                <w:bCs/>
                <w:sz w:val="24"/>
                <w:szCs w:val="24"/>
              </w:rPr>
              <w:t>纸质+</w:t>
            </w: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电子版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材料的出厂合格证明及进场复检报告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包括但不限于：围护结构相关材料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产品、外门窗产品等</w:t>
            </w: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纸质：一份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，复印件加盖建设单位公章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工程竣工验收报告</w:t>
            </w:r>
          </w:p>
        </w:tc>
        <w:tc>
          <w:tcPr>
            <w:tcW w:w="39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cs="Times New Roman" w:eastAsiaTheme="minorEastAsia"/>
                <w:sz w:val="24"/>
                <w:szCs w:val="24"/>
                <w:lang w:eastAsia="zh-CN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sz w:val="24"/>
                <w:szCs w:val="24"/>
              </w:rPr>
              <w:t>纸质：两份，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复印件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加盖</w:t>
            </w:r>
            <w:r>
              <w:rPr>
                <w:rFonts w:hint="eastAsia" w:ascii="Times New Roman" w:cs="Times New Roman" w:hAnsiTheme="minorEastAsia"/>
                <w:sz w:val="24"/>
                <w:szCs w:val="24"/>
              </w:rPr>
              <w:t>建设单位</w:t>
            </w:r>
            <w:r>
              <w:rPr>
                <w:rFonts w:ascii="Times New Roman" w:cs="Times New Roman" w:hAnsiTheme="minorEastAsia"/>
                <w:sz w:val="24"/>
                <w:szCs w:val="24"/>
              </w:rPr>
              <w:t>公章</w:t>
            </w:r>
          </w:p>
        </w:tc>
        <w:tc>
          <w:tcPr>
            <w:tcW w:w="13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bCs/>
                <w:sz w:val="24"/>
                <w:szCs w:val="24"/>
              </w:rPr>
              <w:t>纸质</w:t>
            </w:r>
          </w:p>
        </w:tc>
      </w:tr>
    </w:tbl>
    <w:p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cs="Times New Roman"/>
          <w:sz w:val="24"/>
          <w:szCs w:val="24"/>
        </w:rPr>
        <w:t>备注：</w:t>
      </w:r>
      <w:r>
        <w:rPr>
          <w:rFonts w:hint="eastAsia" w:ascii="Times New Roman" w:cs="Times New Roman"/>
          <w:sz w:val="24"/>
          <w:szCs w:val="24"/>
        </w:rPr>
        <w:t>1. 需</w:t>
      </w:r>
      <w:r>
        <w:rPr>
          <w:rFonts w:hint="eastAsia" w:ascii="Times New Roman" w:cs="Times New Roman"/>
          <w:sz w:val="24"/>
          <w:szCs w:val="24"/>
          <w:lang w:eastAsia="zh-CN"/>
        </w:rPr>
        <w:t>预评价</w:t>
      </w:r>
      <w:r>
        <w:rPr>
          <w:rFonts w:hint="eastAsia" w:ascii="Times New Roman" w:cs="Times New Roman"/>
          <w:sz w:val="24"/>
          <w:szCs w:val="24"/>
        </w:rPr>
        <w:t>的应</w:t>
      </w:r>
      <w:r>
        <w:rPr>
          <w:rFonts w:ascii="Times New Roman" w:cs="Times New Roman"/>
          <w:sz w:val="24"/>
          <w:szCs w:val="24"/>
        </w:rPr>
        <w:t>提交</w:t>
      </w:r>
      <w:r>
        <w:rPr>
          <w:rFonts w:hint="eastAsia" w:ascii="Times New Roman" w:cs="Times New Roman"/>
          <w:sz w:val="24"/>
          <w:szCs w:val="24"/>
        </w:rPr>
        <w:t>上表中</w:t>
      </w:r>
      <w:r>
        <w:rPr>
          <w:rFonts w:ascii="Times New Roman" w:cs="Times New Roman"/>
          <w:sz w:val="24"/>
          <w:szCs w:val="24"/>
        </w:rPr>
        <w:t>编号</w:t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hint="eastAsia" w:ascii="Times New Roman" w:hAnsi="Times New Roman" w:cs="Times New Roman"/>
          <w:sz w:val="24"/>
          <w:szCs w:val="24"/>
        </w:rPr>
        <w:t>-6项的内容。需项目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标识评价</w:t>
      </w:r>
      <w:r>
        <w:rPr>
          <w:rFonts w:hint="eastAsia" w:ascii="Times New Roman" w:hAnsi="Times New Roman" w:cs="Times New Roman"/>
          <w:sz w:val="24"/>
          <w:szCs w:val="24"/>
        </w:rPr>
        <w:t>的，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预评价</w:t>
      </w:r>
      <w:r>
        <w:rPr>
          <w:rFonts w:hint="eastAsia" w:ascii="Times New Roman" w:hAnsi="Times New Roman" w:cs="Times New Roman"/>
          <w:sz w:val="24"/>
          <w:szCs w:val="24"/>
        </w:rPr>
        <w:t>后未发生影响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被动式超低能耗建筑</w:t>
      </w:r>
      <w:r>
        <w:rPr>
          <w:rFonts w:hint="eastAsia" w:ascii="Times New Roman" w:hAnsi="Times New Roman" w:cs="Times New Roman"/>
          <w:sz w:val="24"/>
          <w:szCs w:val="24"/>
        </w:rPr>
        <w:t>关键指标性能设计变更的应提交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预评价</w:t>
      </w:r>
      <w:r>
        <w:rPr>
          <w:rFonts w:hint="eastAsia" w:ascii="Times New Roman" w:hAnsi="Times New Roman" w:cs="Times New Roman"/>
          <w:sz w:val="24"/>
          <w:szCs w:val="24"/>
        </w:rPr>
        <w:t>书和上表中编号7-12项的内容；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预评价</w:t>
      </w:r>
      <w:r>
        <w:rPr>
          <w:rFonts w:hint="eastAsia" w:ascii="Times New Roman" w:hAnsi="Times New Roman" w:cs="Times New Roman"/>
          <w:sz w:val="24"/>
          <w:szCs w:val="24"/>
        </w:rPr>
        <w:t>后发生影响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被动式超低能耗建筑</w:t>
      </w:r>
      <w:r>
        <w:rPr>
          <w:rFonts w:hint="eastAsia" w:ascii="Times New Roman" w:hAnsi="Times New Roman" w:cs="Times New Roman"/>
          <w:sz w:val="24"/>
          <w:szCs w:val="24"/>
        </w:rPr>
        <w:t>关键指标性能设计变更的应提交设计变更审查通过文件、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预评价</w:t>
      </w:r>
      <w:r>
        <w:rPr>
          <w:rFonts w:hint="eastAsia" w:ascii="Times New Roman" w:hAnsi="Times New Roman" w:cs="Times New Roman"/>
          <w:sz w:val="24"/>
          <w:szCs w:val="24"/>
        </w:rPr>
        <w:t>书和上表中编号7-12项的内容。</w:t>
      </w:r>
    </w:p>
    <w:p>
      <w:pPr>
        <w:spacing w:line="360" w:lineRule="auto"/>
        <w:ind w:firstLine="720" w:firstLineChars="300"/>
        <w:rPr>
          <w:rFonts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</w:rPr>
        <w:t>2. 表中除编号1、2项外，其余项原件在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标识评价</w:t>
      </w:r>
      <w:r>
        <w:rPr>
          <w:rFonts w:hint="eastAsia" w:ascii="Times New Roman" w:hAnsi="Times New Roman" w:cs="Times New Roman"/>
          <w:sz w:val="24"/>
          <w:szCs w:val="24"/>
        </w:rPr>
        <w:t>完成后均返还申报单位。</w:t>
      </w:r>
    </w:p>
    <w:p>
      <w:pPr>
        <w:spacing w:line="360" w:lineRule="auto"/>
        <w:rPr>
          <w:sz w:val="28"/>
          <w:szCs w:val="28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spacing w:line="360" w:lineRule="auto"/>
        <w:rPr>
          <w:rFonts w:ascii="Times New Roman" w:hAnsi="Times New Roman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Sim Sun">
    <w:altName w:val="MS Gothic"/>
    <w:panose1 w:val="00000000000000000000"/>
    <w:charset w:val="80"/>
    <w:family w:val="swiss"/>
    <w:pitch w:val="default"/>
    <w:sig w:usb0="00000000" w:usb1="00000000" w:usb2="00000010" w:usb3="00000000" w:csb0="0002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884767"/>
      <w:docPartObj>
        <w:docPartGallery w:val="autotext"/>
      </w:docPartObj>
    </w:sdtPr>
    <w:sdtContent>
      <w:p>
        <w:pPr>
          <w:pStyle w:val="5"/>
          <w:jc w:val="right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 xml:space="preserve"> PAGE   \* MERGEFORMAT </w:instrText>
        </w:r>
        <w:r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lang w:val="zh-CN"/>
          </w:rPr>
          <w:t>7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4041C9"/>
    <w:multiLevelType w:val="multilevel"/>
    <w:tmpl w:val="4A4041C9"/>
    <w:lvl w:ilvl="0" w:tentative="0">
      <w:start w:val="1"/>
      <w:numFmt w:val="japaneseCounting"/>
      <w:lvlText w:val="（%1）"/>
      <w:lvlJc w:val="left"/>
      <w:pPr>
        <w:ind w:left="1680" w:hanging="1080"/>
      </w:pPr>
      <w:rPr>
        <w:rFonts w:hint="default"/>
        <w:color w:val="0C0C0C"/>
      </w:rPr>
    </w:lvl>
    <w:lvl w:ilvl="1" w:tentative="0">
      <w:start w:val="1"/>
      <w:numFmt w:val="lowerLetter"/>
      <w:lvlText w:val="%2)"/>
      <w:lvlJc w:val="left"/>
      <w:pPr>
        <w:ind w:left="1440" w:hanging="420"/>
      </w:pPr>
    </w:lvl>
    <w:lvl w:ilvl="2" w:tentative="0">
      <w:start w:val="1"/>
      <w:numFmt w:val="lowerRoman"/>
      <w:lvlText w:val="%3."/>
      <w:lvlJc w:val="right"/>
      <w:pPr>
        <w:ind w:left="1860" w:hanging="420"/>
      </w:pPr>
    </w:lvl>
    <w:lvl w:ilvl="3" w:tentative="0">
      <w:start w:val="1"/>
      <w:numFmt w:val="decimal"/>
      <w:lvlText w:val="%4."/>
      <w:lvlJc w:val="left"/>
      <w:pPr>
        <w:ind w:left="2280" w:hanging="420"/>
      </w:pPr>
    </w:lvl>
    <w:lvl w:ilvl="4" w:tentative="0">
      <w:start w:val="1"/>
      <w:numFmt w:val="lowerLetter"/>
      <w:lvlText w:val="%5)"/>
      <w:lvlJc w:val="left"/>
      <w:pPr>
        <w:ind w:left="2700" w:hanging="420"/>
      </w:pPr>
    </w:lvl>
    <w:lvl w:ilvl="5" w:tentative="0">
      <w:start w:val="1"/>
      <w:numFmt w:val="lowerRoman"/>
      <w:lvlText w:val="%6."/>
      <w:lvlJc w:val="right"/>
      <w:pPr>
        <w:ind w:left="3120" w:hanging="420"/>
      </w:pPr>
    </w:lvl>
    <w:lvl w:ilvl="6" w:tentative="0">
      <w:start w:val="1"/>
      <w:numFmt w:val="decimal"/>
      <w:lvlText w:val="%7."/>
      <w:lvlJc w:val="left"/>
      <w:pPr>
        <w:ind w:left="3540" w:hanging="420"/>
      </w:pPr>
    </w:lvl>
    <w:lvl w:ilvl="7" w:tentative="0">
      <w:start w:val="1"/>
      <w:numFmt w:val="lowerLetter"/>
      <w:lvlText w:val="%8)"/>
      <w:lvlJc w:val="left"/>
      <w:pPr>
        <w:ind w:left="3960" w:hanging="420"/>
      </w:pPr>
    </w:lvl>
    <w:lvl w:ilvl="8" w:tentative="0">
      <w:start w:val="1"/>
      <w:numFmt w:val="lowerRoman"/>
      <w:lvlText w:val="%9."/>
      <w:lvlJc w:val="right"/>
      <w:pPr>
        <w:ind w:left="4380" w:hanging="420"/>
      </w:pPr>
    </w:lvl>
  </w:abstractNum>
  <w:abstractNum w:abstractNumId="1">
    <w:nsid w:val="7E2F15E6"/>
    <w:multiLevelType w:val="multilevel"/>
    <w:tmpl w:val="7E2F15E6"/>
    <w:lvl w:ilvl="0" w:tentative="0">
      <w:start w:val="1"/>
      <w:numFmt w:val="japaneseCounting"/>
      <w:lvlText w:val="（%1）"/>
      <w:lvlJc w:val="left"/>
      <w:pPr>
        <w:ind w:left="1680" w:hanging="10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40" w:hanging="420"/>
      </w:pPr>
    </w:lvl>
    <w:lvl w:ilvl="2" w:tentative="0">
      <w:start w:val="1"/>
      <w:numFmt w:val="lowerRoman"/>
      <w:lvlText w:val="%3."/>
      <w:lvlJc w:val="right"/>
      <w:pPr>
        <w:ind w:left="1860" w:hanging="420"/>
      </w:pPr>
    </w:lvl>
    <w:lvl w:ilvl="3" w:tentative="0">
      <w:start w:val="1"/>
      <w:numFmt w:val="decimal"/>
      <w:lvlText w:val="%4."/>
      <w:lvlJc w:val="left"/>
      <w:pPr>
        <w:ind w:left="2280" w:hanging="420"/>
      </w:pPr>
    </w:lvl>
    <w:lvl w:ilvl="4" w:tentative="0">
      <w:start w:val="1"/>
      <w:numFmt w:val="lowerLetter"/>
      <w:lvlText w:val="%5)"/>
      <w:lvlJc w:val="left"/>
      <w:pPr>
        <w:ind w:left="2700" w:hanging="420"/>
      </w:pPr>
    </w:lvl>
    <w:lvl w:ilvl="5" w:tentative="0">
      <w:start w:val="1"/>
      <w:numFmt w:val="lowerRoman"/>
      <w:lvlText w:val="%6."/>
      <w:lvlJc w:val="right"/>
      <w:pPr>
        <w:ind w:left="3120" w:hanging="420"/>
      </w:pPr>
    </w:lvl>
    <w:lvl w:ilvl="6" w:tentative="0">
      <w:start w:val="1"/>
      <w:numFmt w:val="decimal"/>
      <w:lvlText w:val="%7."/>
      <w:lvlJc w:val="left"/>
      <w:pPr>
        <w:ind w:left="3540" w:hanging="420"/>
      </w:pPr>
    </w:lvl>
    <w:lvl w:ilvl="7" w:tentative="0">
      <w:start w:val="1"/>
      <w:numFmt w:val="lowerLetter"/>
      <w:lvlText w:val="%8)"/>
      <w:lvlJc w:val="left"/>
      <w:pPr>
        <w:ind w:left="3960" w:hanging="420"/>
      </w:pPr>
    </w:lvl>
    <w:lvl w:ilvl="8" w:tentative="0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yZDBjZTAyM2ZhMGNiYjhjYTRjM2RiM2E3OWUxZDAifQ=="/>
  </w:docVars>
  <w:rsids>
    <w:rsidRoot w:val="00D66895"/>
    <w:rsid w:val="0000147A"/>
    <w:rsid w:val="00013A5E"/>
    <w:rsid w:val="00020070"/>
    <w:rsid w:val="00021C89"/>
    <w:rsid w:val="000224B8"/>
    <w:rsid w:val="000253D0"/>
    <w:rsid w:val="0003345C"/>
    <w:rsid w:val="00034ADD"/>
    <w:rsid w:val="00037B85"/>
    <w:rsid w:val="0004105D"/>
    <w:rsid w:val="00046677"/>
    <w:rsid w:val="00055AE9"/>
    <w:rsid w:val="000568FC"/>
    <w:rsid w:val="00056C30"/>
    <w:rsid w:val="00057DFD"/>
    <w:rsid w:val="000662A8"/>
    <w:rsid w:val="00071AB7"/>
    <w:rsid w:val="000778A3"/>
    <w:rsid w:val="00077FD9"/>
    <w:rsid w:val="00081B92"/>
    <w:rsid w:val="00084A71"/>
    <w:rsid w:val="00086854"/>
    <w:rsid w:val="000877D6"/>
    <w:rsid w:val="00092130"/>
    <w:rsid w:val="000936CB"/>
    <w:rsid w:val="000A6524"/>
    <w:rsid w:val="000B3D09"/>
    <w:rsid w:val="000B6845"/>
    <w:rsid w:val="000B7854"/>
    <w:rsid w:val="000B79B0"/>
    <w:rsid w:val="000D0236"/>
    <w:rsid w:val="000D2967"/>
    <w:rsid w:val="000D2DCD"/>
    <w:rsid w:val="000E4827"/>
    <w:rsid w:val="000F3028"/>
    <w:rsid w:val="00102EC4"/>
    <w:rsid w:val="00113545"/>
    <w:rsid w:val="001164A8"/>
    <w:rsid w:val="00120FF0"/>
    <w:rsid w:val="00123CCD"/>
    <w:rsid w:val="00124D23"/>
    <w:rsid w:val="00140FDD"/>
    <w:rsid w:val="001426DB"/>
    <w:rsid w:val="001449BC"/>
    <w:rsid w:val="00144D12"/>
    <w:rsid w:val="00144EE0"/>
    <w:rsid w:val="001517F7"/>
    <w:rsid w:val="00154EB0"/>
    <w:rsid w:val="0015627C"/>
    <w:rsid w:val="001573AC"/>
    <w:rsid w:val="0016029D"/>
    <w:rsid w:val="00165320"/>
    <w:rsid w:val="0017632A"/>
    <w:rsid w:val="001817A9"/>
    <w:rsid w:val="00185090"/>
    <w:rsid w:val="00187652"/>
    <w:rsid w:val="001A6145"/>
    <w:rsid w:val="001A681F"/>
    <w:rsid w:val="001B1072"/>
    <w:rsid w:val="001B6C35"/>
    <w:rsid w:val="001C13AE"/>
    <w:rsid w:val="001C206D"/>
    <w:rsid w:val="001C329A"/>
    <w:rsid w:val="001D7DF6"/>
    <w:rsid w:val="001E4FC6"/>
    <w:rsid w:val="001F4FD0"/>
    <w:rsid w:val="001F77AF"/>
    <w:rsid w:val="002028CA"/>
    <w:rsid w:val="0020307B"/>
    <w:rsid w:val="00203A01"/>
    <w:rsid w:val="00207FA7"/>
    <w:rsid w:val="00217A93"/>
    <w:rsid w:val="00217EB6"/>
    <w:rsid w:val="00225712"/>
    <w:rsid w:val="0023123E"/>
    <w:rsid w:val="0023153E"/>
    <w:rsid w:val="00231AE3"/>
    <w:rsid w:val="00231D57"/>
    <w:rsid w:val="00232481"/>
    <w:rsid w:val="00233667"/>
    <w:rsid w:val="00240B54"/>
    <w:rsid w:val="0024651A"/>
    <w:rsid w:val="002531CB"/>
    <w:rsid w:val="002547DF"/>
    <w:rsid w:val="002620B2"/>
    <w:rsid w:val="00265495"/>
    <w:rsid w:val="00273BFE"/>
    <w:rsid w:val="00284293"/>
    <w:rsid w:val="00287477"/>
    <w:rsid w:val="00297F22"/>
    <w:rsid w:val="002A7574"/>
    <w:rsid w:val="002B13E6"/>
    <w:rsid w:val="002B1BF2"/>
    <w:rsid w:val="002C1C16"/>
    <w:rsid w:val="002C4B2D"/>
    <w:rsid w:val="002C51A4"/>
    <w:rsid w:val="002C568C"/>
    <w:rsid w:val="002D2438"/>
    <w:rsid w:val="002D48C5"/>
    <w:rsid w:val="002E523A"/>
    <w:rsid w:val="002E6703"/>
    <w:rsid w:val="002E75CF"/>
    <w:rsid w:val="002E7A09"/>
    <w:rsid w:val="002F2D07"/>
    <w:rsid w:val="002F5965"/>
    <w:rsid w:val="002F7797"/>
    <w:rsid w:val="00301749"/>
    <w:rsid w:val="00310ABC"/>
    <w:rsid w:val="003127EB"/>
    <w:rsid w:val="00312CE9"/>
    <w:rsid w:val="00314E9A"/>
    <w:rsid w:val="003158AB"/>
    <w:rsid w:val="00315B4D"/>
    <w:rsid w:val="00316852"/>
    <w:rsid w:val="00317223"/>
    <w:rsid w:val="00326F58"/>
    <w:rsid w:val="00331875"/>
    <w:rsid w:val="003337B5"/>
    <w:rsid w:val="003406CE"/>
    <w:rsid w:val="0034244A"/>
    <w:rsid w:val="00342F75"/>
    <w:rsid w:val="00352A2C"/>
    <w:rsid w:val="00353A60"/>
    <w:rsid w:val="00367334"/>
    <w:rsid w:val="003673F1"/>
    <w:rsid w:val="00387393"/>
    <w:rsid w:val="00390D66"/>
    <w:rsid w:val="00396983"/>
    <w:rsid w:val="003A69CE"/>
    <w:rsid w:val="003A6C2D"/>
    <w:rsid w:val="003B011E"/>
    <w:rsid w:val="003C034A"/>
    <w:rsid w:val="003C10F7"/>
    <w:rsid w:val="003C2ADA"/>
    <w:rsid w:val="003D183C"/>
    <w:rsid w:val="003D33A6"/>
    <w:rsid w:val="003D5427"/>
    <w:rsid w:val="003D6133"/>
    <w:rsid w:val="003E120D"/>
    <w:rsid w:val="003E2D50"/>
    <w:rsid w:val="00413886"/>
    <w:rsid w:val="00422746"/>
    <w:rsid w:val="00423DC9"/>
    <w:rsid w:val="004253F8"/>
    <w:rsid w:val="0043025D"/>
    <w:rsid w:val="00433DFD"/>
    <w:rsid w:val="00437A16"/>
    <w:rsid w:val="004406B6"/>
    <w:rsid w:val="00445A0C"/>
    <w:rsid w:val="00446A87"/>
    <w:rsid w:val="004541C5"/>
    <w:rsid w:val="004568A6"/>
    <w:rsid w:val="0045744E"/>
    <w:rsid w:val="00460E99"/>
    <w:rsid w:val="00461E64"/>
    <w:rsid w:val="00477072"/>
    <w:rsid w:val="00482D58"/>
    <w:rsid w:val="00483FEE"/>
    <w:rsid w:val="0049237D"/>
    <w:rsid w:val="00497764"/>
    <w:rsid w:val="004979D6"/>
    <w:rsid w:val="004A2A38"/>
    <w:rsid w:val="004B3AAB"/>
    <w:rsid w:val="004B421F"/>
    <w:rsid w:val="004B51F2"/>
    <w:rsid w:val="004C20D0"/>
    <w:rsid w:val="004C405E"/>
    <w:rsid w:val="004D119A"/>
    <w:rsid w:val="004D13D5"/>
    <w:rsid w:val="004D3599"/>
    <w:rsid w:val="004E0B6F"/>
    <w:rsid w:val="004E6BB6"/>
    <w:rsid w:val="004F2463"/>
    <w:rsid w:val="004F441A"/>
    <w:rsid w:val="005019C1"/>
    <w:rsid w:val="00513C30"/>
    <w:rsid w:val="005156F1"/>
    <w:rsid w:val="00515B73"/>
    <w:rsid w:val="005277DF"/>
    <w:rsid w:val="005406A6"/>
    <w:rsid w:val="005433A5"/>
    <w:rsid w:val="00544FF3"/>
    <w:rsid w:val="00550827"/>
    <w:rsid w:val="00561697"/>
    <w:rsid w:val="00562611"/>
    <w:rsid w:val="00562A9C"/>
    <w:rsid w:val="00562AE3"/>
    <w:rsid w:val="005742E8"/>
    <w:rsid w:val="0057477D"/>
    <w:rsid w:val="00576B2C"/>
    <w:rsid w:val="0058052E"/>
    <w:rsid w:val="005867F1"/>
    <w:rsid w:val="00591607"/>
    <w:rsid w:val="00593FC5"/>
    <w:rsid w:val="005A3C30"/>
    <w:rsid w:val="005C38CA"/>
    <w:rsid w:val="005C3E3B"/>
    <w:rsid w:val="005D14D2"/>
    <w:rsid w:val="005D1E69"/>
    <w:rsid w:val="005D2E63"/>
    <w:rsid w:val="005D4C77"/>
    <w:rsid w:val="005F6F18"/>
    <w:rsid w:val="00603243"/>
    <w:rsid w:val="00603C2F"/>
    <w:rsid w:val="00606410"/>
    <w:rsid w:val="00607C1F"/>
    <w:rsid w:val="006143CD"/>
    <w:rsid w:val="006155CE"/>
    <w:rsid w:val="006165C2"/>
    <w:rsid w:val="00623863"/>
    <w:rsid w:val="00626359"/>
    <w:rsid w:val="00626A5F"/>
    <w:rsid w:val="006323CD"/>
    <w:rsid w:val="00634EFD"/>
    <w:rsid w:val="00640905"/>
    <w:rsid w:val="006427A4"/>
    <w:rsid w:val="0064307D"/>
    <w:rsid w:val="00643452"/>
    <w:rsid w:val="006440BC"/>
    <w:rsid w:val="0065045B"/>
    <w:rsid w:val="006516FC"/>
    <w:rsid w:val="00652904"/>
    <w:rsid w:val="00655C68"/>
    <w:rsid w:val="006606C0"/>
    <w:rsid w:val="006802F7"/>
    <w:rsid w:val="006859E3"/>
    <w:rsid w:val="00693F96"/>
    <w:rsid w:val="00694DE6"/>
    <w:rsid w:val="006A7589"/>
    <w:rsid w:val="006B1BF2"/>
    <w:rsid w:val="006B5B1C"/>
    <w:rsid w:val="006B788C"/>
    <w:rsid w:val="006C2C8D"/>
    <w:rsid w:val="006C47FB"/>
    <w:rsid w:val="006C5580"/>
    <w:rsid w:val="006C6E5A"/>
    <w:rsid w:val="006C7763"/>
    <w:rsid w:val="006D0396"/>
    <w:rsid w:val="006E3C8C"/>
    <w:rsid w:val="006E711D"/>
    <w:rsid w:val="006F2747"/>
    <w:rsid w:val="006F27B1"/>
    <w:rsid w:val="006F7F37"/>
    <w:rsid w:val="00701A08"/>
    <w:rsid w:val="00705BEA"/>
    <w:rsid w:val="0071366F"/>
    <w:rsid w:val="007236E4"/>
    <w:rsid w:val="0073400F"/>
    <w:rsid w:val="00735179"/>
    <w:rsid w:val="00742A28"/>
    <w:rsid w:val="00755A92"/>
    <w:rsid w:val="00764E28"/>
    <w:rsid w:val="00765A12"/>
    <w:rsid w:val="00770BE3"/>
    <w:rsid w:val="00771EE9"/>
    <w:rsid w:val="00774394"/>
    <w:rsid w:val="00774A11"/>
    <w:rsid w:val="0078109A"/>
    <w:rsid w:val="00781C9B"/>
    <w:rsid w:val="007833E2"/>
    <w:rsid w:val="00784FA5"/>
    <w:rsid w:val="00793B98"/>
    <w:rsid w:val="00797DC3"/>
    <w:rsid w:val="007A0A23"/>
    <w:rsid w:val="007A1613"/>
    <w:rsid w:val="007A392B"/>
    <w:rsid w:val="007A4DD8"/>
    <w:rsid w:val="007A7EF2"/>
    <w:rsid w:val="007B341B"/>
    <w:rsid w:val="007C33D8"/>
    <w:rsid w:val="007C4FDE"/>
    <w:rsid w:val="007D16AA"/>
    <w:rsid w:val="007D32C2"/>
    <w:rsid w:val="007D5ACF"/>
    <w:rsid w:val="007E28C9"/>
    <w:rsid w:val="007F054D"/>
    <w:rsid w:val="007F36E4"/>
    <w:rsid w:val="007F5F3B"/>
    <w:rsid w:val="007F6E8C"/>
    <w:rsid w:val="00800997"/>
    <w:rsid w:val="0081130E"/>
    <w:rsid w:val="008240D7"/>
    <w:rsid w:val="00824390"/>
    <w:rsid w:val="00827BCA"/>
    <w:rsid w:val="0083201B"/>
    <w:rsid w:val="00837A58"/>
    <w:rsid w:val="008416F6"/>
    <w:rsid w:val="00854625"/>
    <w:rsid w:val="00863C20"/>
    <w:rsid w:val="00864A15"/>
    <w:rsid w:val="0088111C"/>
    <w:rsid w:val="008822A9"/>
    <w:rsid w:val="00882677"/>
    <w:rsid w:val="00885CDD"/>
    <w:rsid w:val="00886B19"/>
    <w:rsid w:val="00891A21"/>
    <w:rsid w:val="008A2457"/>
    <w:rsid w:val="008A59DE"/>
    <w:rsid w:val="008A70D5"/>
    <w:rsid w:val="008B68E5"/>
    <w:rsid w:val="008C09AA"/>
    <w:rsid w:val="008C5FCF"/>
    <w:rsid w:val="008D24D7"/>
    <w:rsid w:val="008E0534"/>
    <w:rsid w:val="008E256E"/>
    <w:rsid w:val="008E3A90"/>
    <w:rsid w:val="008E58A2"/>
    <w:rsid w:val="008F1291"/>
    <w:rsid w:val="008F1B4F"/>
    <w:rsid w:val="008F27CA"/>
    <w:rsid w:val="008F4BBB"/>
    <w:rsid w:val="0090127B"/>
    <w:rsid w:val="00915CFF"/>
    <w:rsid w:val="009218E5"/>
    <w:rsid w:val="0092720E"/>
    <w:rsid w:val="009349E3"/>
    <w:rsid w:val="009352D2"/>
    <w:rsid w:val="00942EA7"/>
    <w:rsid w:val="00943A3B"/>
    <w:rsid w:val="0095171F"/>
    <w:rsid w:val="00960C76"/>
    <w:rsid w:val="00962D6A"/>
    <w:rsid w:val="0098221F"/>
    <w:rsid w:val="00982B71"/>
    <w:rsid w:val="0098378D"/>
    <w:rsid w:val="009854E3"/>
    <w:rsid w:val="00986235"/>
    <w:rsid w:val="009873DD"/>
    <w:rsid w:val="009A1E76"/>
    <w:rsid w:val="009A65E4"/>
    <w:rsid w:val="009D025D"/>
    <w:rsid w:val="009E1E78"/>
    <w:rsid w:val="009E24F6"/>
    <w:rsid w:val="009E2B30"/>
    <w:rsid w:val="009E2BF1"/>
    <w:rsid w:val="009E4B9C"/>
    <w:rsid w:val="009E5886"/>
    <w:rsid w:val="009F483B"/>
    <w:rsid w:val="00A01719"/>
    <w:rsid w:val="00A051C5"/>
    <w:rsid w:val="00A11667"/>
    <w:rsid w:val="00A23133"/>
    <w:rsid w:val="00A2365C"/>
    <w:rsid w:val="00A261DC"/>
    <w:rsid w:val="00A33D07"/>
    <w:rsid w:val="00A3743E"/>
    <w:rsid w:val="00A424C0"/>
    <w:rsid w:val="00A47184"/>
    <w:rsid w:val="00A52B20"/>
    <w:rsid w:val="00A54A7A"/>
    <w:rsid w:val="00A6414E"/>
    <w:rsid w:val="00A648B5"/>
    <w:rsid w:val="00A67A21"/>
    <w:rsid w:val="00A67F72"/>
    <w:rsid w:val="00A77240"/>
    <w:rsid w:val="00A80628"/>
    <w:rsid w:val="00A81C38"/>
    <w:rsid w:val="00A81D49"/>
    <w:rsid w:val="00A823F1"/>
    <w:rsid w:val="00A86A1E"/>
    <w:rsid w:val="00A90896"/>
    <w:rsid w:val="00A94704"/>
    <w:rsid w:val="00A9585D"/>
    <w:rsid w:val="00A962A1"/>
    <w:rsid w:val="00A96FC1"/>
    <w:rsid w:val="00AA0095"/>
    <w:rsid w:val="00AA0401"/>
    <w:rsid w:val="00AA51D0"/>
    <w:rsid w:val="00AB30B9"/>
    <w:rsid w:val="00AB64F3"/>
    <w:rsid w:val="00AC04A8"/>
    <w:rsid w:val="00AC706F"/>
    <w:rsid w:val="00AC72AA"/>
    <w:rsid w:val="00AD0658"/>
    <w:rsid w:val="00AD3770"/>
    <w:rsid w:val="00AD5346"/>
    <w:rsid w:val="00AD5788"/>
    <w:rsid w:val="00AD5C76"/>
    <w:rsid w:val="00AE261C"/>
    <w:rsid w:val="00AE3F0E"/>
    <w:rsid w:val="00AE5FA2"/>
    <w:rsid w:val="00AF52A4"/>
    <w:rsid w:val="00B01284"/>
    <w:rsid w:val="00B01782"/>
    <w:rsid w:val="00B525EF"/>
    <w:rsid w:val="00B55CF4"/>
    <w:rsid w:val="00B56A25"/>
    <w:rsid w:val="00B57DFB"/>
    <w:rsid w:val="00B619B6"/>
    <w:rsid w:val="00B61D7F"/>
    <w:rsid w:val="00B62938"/>
    <w:rsid w:val="00B8363B"/>
    <w:rsid w:val="00B84519"/>
    <w:rsid w:val="00B84979"/>
    <w:rsid w:val="00B91B8F"/>
    <w:rsid w:val="00BB0D81"/>
    <w:rsid w:val="00BC2D35"/>
    <w:rsid w:val="00BD3233"/>
    <w:rsid w:val="00BD66EA"/>
    <w:rsid w:val="00BF007C"/>
    <w:rsid w:val="00BF2871"/>
    <w:rsid w:val="00BF6D3A"/>
    <w:rsid w:val="00C04410"/>
    <w:rsid w:val="00C04B84"/>
    <w:rsid w:val="00C1089B"/>
    <w:rsid w:val="00C154AE"/>
    <w:rsid w:val="00C22420"/>
    <w:rsid w:val="00C30DEC"/>
    <w:rsid w:val="00C346DE"/>
    <w:rsid w:val="00C3574C"/>
    <w:rsid w:val="00C35AD1"/>
    <w:rsid w:val="00C41803"/>
    <w:rsid w:val="00C452E2"/>
    <w:rsid w:val="00C473E9"/>
    <w:rsid w:val="00C504B8"/>
    <w:rsid w:val="00C5186D"/>
    <w:rsid w:val="00C57A3E"/>
    <w:rsid w:val="00C63F14"/>
    <w:rsid w:val="00C67D7C"/>
    <w:rsid w:val="00C70EED"/>
    <w:rsid w:val="00C7232E"/>
    <w:rsid w:val="00C755DB"/>
    <w:rsid w:val="00C75844"/>
    <w:rsid w:val="00C8495F"/>
    <w:rsid w:val="00C87388"/>
    <w:rsid w:val="00C87FDE"/>
    <w:rsid w:val="00C9515B"/>
    <w:rsid w:val="00C95358"/>
    <w:rsid w:val="00CA18F0"/>
    <w:rsid w:val="00CA2A5F"/>
    <w:rsid w:val="00CB2438"/>
    <w:rsid w:val="00CC0F1A"/>
    <w:rsid w:val="00CC28F5"/>
    <w:rsid w:val="00CC50DD"/>
    <w:rsid w:val="00CC65D6"/>
    <w:rsid w:val="00CE246A"/>
    <w:rsid w:val="00CE6A62"/>
    <w:rsid w:val="00CF5A6F"/>
    <w:rsid w:val="00CF7A6E"/>
    <w:rsid w:val="00D033A1"/>
    <w:rsid w:val="00D04254"/>
    <w:rsid w:val="00D054E7"/>
    <w:rsid w:val="00D058DE"/>
    <w:rsid w:val="00D14766"/>
    <w:rsid w:val="00D15238"/>
    <w:rsid w:val="00D16C4A"/>
    <w:rsid w:val="00D25EDB"/>
    <w:rsid w:val="00D275F2"/>
    <w:rsid w:val="00D31C34"/>
    <w:rsid w:val="00D33AB3"/>
    <w:rsid w:val="00D3641D"/>
    <w:rsid w:val="00D36BE0"/>
    <w:rsid w:val="00D36FC1"/>
    <w:rsid w:val="00D423BF"/>
    <w:rsid w:val="00D43B17"/>
    <w:rsid w:val="00D44686"/>
    <w:rsid w:val="00D45D5A"/>
    <w:rsid w:val="00D47DB8"/>
    <w:rsid w:val="00D51B06"/>
    <w:rsid w:val="00D5226C"/>
    <w:rsid w:val="00D53DDA"/>
    <w:rsid w:val="00D55EED"/>
    <w:rsid w:val="00D564CA"/>
    <w:rsid w:val="00D56E8B"/>
    <w:rsid w:val="00D66895"/>
    <w:rsid w:val="00D66ABA"/>
    <w:rsid w:val="00D66B4E"/>
    <w:rsid w:val="00D67E0E"/>
    <w:rsid w:val="00D7457D"/>
    <w:rsid w:val="00D76285"/>
    <w:rsid w:val="00D80D17"/>
    <w:rsid w:val="00D869C8"/>
    <w:rsid w:val="00D9185B"/>
    <w:rsid w:val="00D9240A"/>
    <w:rsid w:val="00D97070"/>
    <w:rsid w:val="00D97A56"/>
    <w:rsid w:val="00DA1796"/>
    <w:rsid w:val="00DA412D"/>
    <w:rsid w:val="00DA6D8F"/>
    <w:rsid w:val="00DB53AD"/>
    <w:rsid w:val="00DB797E"/>
    <w:rsid w:val="00DC3AF9"/>
    <w:rsid w:val="00DD1CFB"/>
    <w:rsid w:val="00DE066B"/>
    <w:rsid w:val="00DE2719"/>
    <w:rsid w:val="00DE464E"/>
    <w:rsid w:val="00DF4A70"/>
    <w:rsid w:val="00E013A4"/>
    <w:rsid w:val="00E02E3C"/>
    <w:rsid w:val="00E0334A"/>
    <w:rsid w:val="00E0576A"/>
    <w:rsid w:val="00E065B9"/>
    <w:rsid w:val="00E12E8C"/>
    <w:rsid w:val="00E22CFD"/>
    <w:rsid w:val="00E22EE8"/>
    <w:rsid w:val="00E3088A"/>
    <w:rsid w:val="00E41ACA"/>
    <w:rsid w:val="00E453D8"/>
    <w:rsid w:val="00E500C1"/>
    <w:rsid w:val="00E51EAD"/>
    <w:rsid w:val="00E614F6"/>
    <w:rsid w:val="00E61DDD"/>
    <w:rsid w:val="00E65589"/>
    <w:rsid w:val="00E670CC"/>
    <w:rsid w:val="00E77E0F"/>
    <w:rsid w:val="00E8784E"/>
    <w:rsid w:val="00E979E9"/>
    <w:rsid w:val="00EA00B8"/>
    <w:rsid w:val="00EA35D3"/>
    <w:rsid w:val="00EA3AAD"/>
    <w:rsid w:val="00EA63E4"/>
    <w:rsid w:val="00EB17B4"/>
    <w:rsid w:val="00EB1DD7"/>
    <w:rsid w:val="00EC32DE"/>
    <w:rsid w:val="00EC5CB8"/>
    <w:rsid w:val="00EE2E9C"/>
    <w:rsid w:val="00EE3020"/>
    <w:rsid w:val="00EE7A25"/>
    <w:rsid w:val="00EF1214"/>
    <w:rsid w:val="00F03E69"/>
    <w:rsid w:val="00F15E00"/>
    <w:rsid w:val="00F17B0E"/>
    <w:rsid w:val="00F17CFB"/>
    <w:rsid w:val="00F221EC"/>
    <w:rsid w:val="00F312BE"/>
    <w:rsid w:val="00F34332"/>
    <w:rsid w:val="00F4401B"/>
    <w:rsid w:val="00F47D16"/>
    <w:rsid w:val="00F53D3A"/>
    <w:rsid w:val="00F56B55"/>
    <w:rsid w:val="00F616ED"/>
    <w:rsid w:val="00F618D7"/>
    <w:rsid w:val="00F738CC"/>
    <w:rsid w:val="00F75CE2"/>
    <w:rsid w:val="00F76F56"/>
    <w:rsid w:val="00F81197"/>
    <w:rsid w:val="00F844D2"/>
    <w:rsid w:val="00F851DD"/>
    <w:rsid w:val="00F95395"/>
    <w:rsid w:val="00FA07A2"/>
    <w:rsid w:val="00FA15C0"/>
    <w:rsid w:val="00FA6863"/>
    <w:rsid w:val="00FA7B61"/>
    <w:rsid w:val="00FB092E"/>
    <w:rsid w:val="00FB4040"/>
    <w:rsid w:val="00FB5837"/>
    <w:rsid w:val="00FC1210"/>
    <w:rsid w:val="00FC4148"/>
    <w:rsid w:val="00FC4427"/>
    <w:rsid w:val="00FD3B5D"/>
    <w:rsid w:val="00FD5DA8"/>
    <w:rsid w:val="00FE04C4"/>
    <w:rsid w:val="00FE1441"/>
    <w:rsid w:val="00FE3C64"/>
    <w:rsid w:val="00FE4417"/>
    <w:rsid w:val="00FE572D"/>
    <w:rsid w:val="00FF0E53"/>
    <w:rsid w:val="00FF6885"/>
    <w:rsid w:val="0EBB571A"/>
    <w:rsid w:val="0F707EC9"/>
    <w:rsid w:val="102F0A6E"/>
    <w:rsid w:val="4A1F109A"/>
    <w:rsid w:val="4A626090"/>
    <w:rsid w:val="4A7E157A"/>
    <w:rsid w:val="4CF43C44"/>
    <w:rsid w:val="4F3425CC"/>
    <w:rsid w:val="556E22D5"/>
    <w:rsid w:val="5FBF325B"/>
    <w:rsid w:val="66F8321C"/>
    <w:rsid w:val="75E03F4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20"/>
    <w:unhideWhenUsed/>
    <w:qFormat/>
    <w:uiPriority w:val="99"/>
    <w:rPr>
      <w:rFonts w:ascii="宋体" w:eastAsia="宋体"/>
      <w:sz w:val="18"/>
      <w:szCs w:val="18"/>
    </w:rPr>
  </w:style>
  <w:style w:type="paragraph" w:styleId="4">
    <w:name w:val="Balloon Text"/>
    <w:basedOn w:val="1"/>
    <w:link w:val="21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Title"/>
    <w:basedOn w:val="1"/>
    <w:next w:val="1"/>
    <w:link w:val="13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Strong"/>
    <w:qFormat/>
    <w:uiPriority w:val="0"/>
    <w:rPr>
      <w:b/>
      <w:bCs/>
    </w:rPr>
  </w:style>
  <w:style w:type="character" w:customStyle="1" w:styleId="13">
    <w:name w:val="标题 Char"/>
    <w:basedOn w:val="11"/>
    <w:link w:val="8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14">
    <w:name w:val="标题 1 Char"/>
    <w:basedOn w:val="11"/>
    <w:link w:val="2"/>
    <w:qFormat/>
    <w:uiPriority w:val="9"/>
    <w:rPr>
      <w:b/>
      <w:bCs/>
      <w:kern w:val="44"/>
      <w:sz w:val="44"/>
      <w:szCs w:val="4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页眉 Char"/>
    <w:basedOn w:val="11"/>
    <w:link w:val="6"/>
    <w:qFormat/>
    <w:uiPriority w:val="99"/>
    <w:rPr>
      <w:sz w:val="18"/>
      <w:szCs w:val="18"/>
    </w:rPr>
  </w:style>
  <w:style w:type="character" w:customStyle="1" w:styleId="17">
    <w:name w:val="页脚 Char"/>
    <w:basedOn w:val="11"/>
    <w:link w:val="5"/>
    <w:qFormat/>
    <w:uiPriority w:val="99"/>
    <w:rPr>
      <w:sz w:val="18"/>
      <w:szCs w:val="18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Sim Sun" w:hAnsi="Times New Roman" w:eastAsia="Sim Sun" w:cs="Sim Sun"/>
      <w:color w:val="000000"/>
      <w:kern w:val="0"/>
      <w:sz w:val="24"/>
      <w:szCs w:val="24"/>
      <w:lang w:val="en-US" w:eastAsia="zh-CN" w:bidi="ar-SA"/>
    </w:rPr>
  </w:style>
  <w:style w:type="paragraph" w:customStyle="1" w:styleId="19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4"/>
    </w:rPr>
  </w:style>
  <w:style w:type="character" w:customStyle="1" w:styleId="20">
    <w:name w:val="文档结构图 Char"/>
    <w:basedOn w:val="11"/>
    <w:link w:val="3"/>
    <w:semiHidden/>
    <w:qFormat/>
    <w:uiPriority w:val="99"/>
    <w:rPr>
      <w:rFonts w:ascii="宋体" w:eastAsia="宋体"/>
      <w:sz w:val="18"/>
      <w:szCs w:val="18"/>
    </w:rPr>
  </w:style>
  <w:style w:type="character" w:customStyle="1" w:styleId="21">
    <w:name w:val="批注框文本 Char"/>
    <w:basedOn w:val="11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849D8-1550-410A-8AB9-4D5100501F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9</Pages>
  <Words>2935</Words>
  <Characters>2968</Characters>
  <Lines>21</Lines>
  <Paragraphs>6</Paragraphs>
  <TotalTime>5</TotalTime>
  <ScaleCrop>false</ScaleCrop>
  <LinksUpToDate>false</LinksUpToDate>
  <CharactersWithSpaces>3006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2013-11-02T10:39:00Z</dcterms:created>
  <dc:creator>Sky123.Org</dc:creator>
  <cp:lastModifiedBy>WPS_1559700128</cp:lastModifiedBy>
  <cp:lastPrinted>2021-11-15T02:34:00Z</cp:lastPrinted>
  <dcterms:modified xsi:type="dcterms:W3CDTF">2022-07-08T02:59:44Z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915E53F8ED234F4EA286CE20FFFF9DA7</vt:lpwstr>
  </property>
</Properties>
</file>